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jc w:val="center"/>
        <w:outlineLvl w:val="9"/>
        <w:rPr>
          <w:rFonts w:eastAsia="方正小标宋简体"/>
          <w:color w:val="000000"/>
          <w:sz w:val="72"/>
          <w:szCs w:val="72"/>
        </w:rPr>
      </w:pPr>
      <w:bookmarkStart w:id="0" w:name="_Toc15306267"/>
    </w:p>
    <w:p>
      <w:pPr>
        <w:contextualSpacing/>
        <w:jc w:val="center"/>
        <w:outlineLvl w:val="9"/>
        <w:rPr>
          <w:rFonts w:eastAsia="方正小标宋简体"/>
          <w:color w:val="000000"/>
          <w:sz w:val="72"/>
          <w:szCs w:val="72"/>
        </w:rPr>
      </w:pPr>
    </w:p>
    <w:p>
      <w:pPr>
        <w:contextualSpacing/>
        <w:jc w:val="center"/>
        <w:outlineLvl w:val="9"/>
        <w:rPr>
          <w:rFonts w:eastAsia="方正小标宋简体"/>
          <w:color w:val="000000"/>
          <w:sz w:val="72"/>
          <w:szCs w:val="72"/>
        </w:rPr>
      </w:pPr>
    </w:p>
    <w:p>
      <w:pPr>
        <w:contextualSpacing/>
        <w:jc w:val="center"/>
        <w:outlineLvl w:val="9"/>
        <w:rPr>
          <w:rFonts w:eastAsia="方正小标宋简体"/>
          <w:color w:val="000000"/>
          <w:sz w:val="72"/>
          <w:szCs w:val="72"/>
        </w:rPr>
      </w:pPr>
    </w:p>
    <w:p>
      <w:pPr>
        <w:jc w:val="center"/>
        <w:rPr>
          <w:rFonts w:ascii="方正小标宋简体" w:hAnsi="方正小标宋简体" w:eastAsia="方正小标宋简体"/>
          <w:sz w:val="72"/>
          <w:szCs w:val="72"/>
        </w:rPr>
      </w:pPr>
      <w:bookmarkStart w:id="1" w:name="_Toc15396597"/>
      <w:bookmarkStart w:id="2" w:name="_Toc51763395"/>
      <w:bookmarkStart w:id="3" w:name="_Toc15377193"/>
      <w:bookmarkStart w:id="4" w:name="_Toc15396475"/>
      <w:bookmarkStart w:id="5" w:name="_Toc15378441"/>
      <w:bookmarkStart w:id="6" w:name="_Toc15377425"/>
      <w:r>
        <w:rPr>
          <w:rFonts w:ascii="方正小标宋简体" w:hAnsi="方正小标宋简体" w:eastAsia="方正小标宋简体"/>
          <w:sz w:val="72"/>
          <w:szCs w:val="72"/>
        </w:rPr>
        <w:t>2020年度</w:t>
      </w:r>
      <w:bookmarkEnd w:id="1"/>
      <w:bookmarkEnd w:id="2"/>
      <w:bookmarkEnd w:id="3"/>
      <w:bookmarkEnd w:id="4"/>
      <w:bookmarkEnd w:id="5"/>
      <w:bookmarkEnd w:id="6"/>
    </w:p>
    <w:p>
      <w:pPr>
        <w:jc w:val="center"/>
        <w:rPr>
          <w:rFonts w:ascii="方正小标宋简体" w:hAnsi="方正小标宋简体" w:eastAsia="方正小标宋简体"/>
          <w:sz w:val="72"/>
          <w:szCs w:val="72"/>
        </w:rPr>
      </w:pPr>
      <w:bookmarkStart w:id="7" w:name="_Toc51763396"/>
      <w:bookmarkStart w:id="8" w:name="_Toc15378442"/>
      <w:bookmarkStart w:id="9" w:name="_Toc15377426"/>
      <w:bookmarkStart w:id="10" w:name="_Toc15396476"/>
      <w:bookmarkStart w:id="11" w:name="_Toc15377194"/>
      <w:bookmarkStart w:id="12" w:name="_Toc15396598"/>
      <w:r>
        <w:rPr>
          <w:rFonts w:ascii="方正小标宋简体" w:hAnsi="方正小标宋简体" w:eastAsia="方正小标宋简体"/>
          <w:sz w:val="72"/>
          <w:szCs w:val="72"/>
        </w:rPr>
        <w:t>泸</w:t>
      </w:r>
      <w:bookmarkEnd w:id="0"/>
      <w:bookmarkStart w:id="13" w:name="_Toc15306268"/>
      <w:r>
        <w:rPr>
          <w:rFonts w:hint="eastAsia" w:ascii="方正小标宋简体" w:hAnsi="方正小标宋简体" w:eastAsia="方正小标宋简体"/>
          <w:sz w:val="72"/>
          <w:szCs w:val="72"/>
          <w:lang w:eastAsia="zh-CN"/>
        </w:rPr>
        <w:t>县</w:t>
      </w:r>
      <w:r>
        <w:rPr>
          <w:rFonts w:ascii="方正小标宋简体" w:hAnsi="方正小标宋简体" w:eastAsia="方正小标宋简体"/>
          <w:sz w:val="72"/>
          <w:szCs w:val="72"/>
        </w:rPr>
        <w:t>公共资源交易中心</w:t>
      </w:r>
      <w:bookmarkEnd w:id="7"/>
    </w:p>
    <w:p>
      <w:pPr>
        <w:jc w:val="center"/>
        <w:rPr>
          <w:rFonts w:ascii="方正小标宋简体" w:hAnsi="方正小标宋简体" w:eastAsia="方正小标宋简体"/>
          <w:sz w:val="72"/>
          <w:szCs w:val="72"/>
        </w:rPr>
      </w:pPr>
      <w:bookmarkStart w:id="14" w:name="_Toc51763397"/>
      <w:r>
        <w:rPr>
          <w:rFonts w:ascii="方正小标宋简体" w:hAnsi="方正小标宋简体" w:eastAsia="方正小标宋简体"/>
          <w:sz w:val="72"/>
          <w:szCs w:val="72"/>
        </w:rPr>
        <w:t>部门决算</w:t>
      </w:r>
      <w:bookmarkEnd w:id="8"/>
      <w:bookmarkEnd w:id="9"/>
      <w:bookmarkEnd w:id="10"/>
      <w:bookmarkEnd w:id="11"/>
      <w:bookmarkEnd w:id="12"/>
      <w:bookmarkEnd w:id="13"/>
      <w:bookmarkEnd w:id="14"/>
      <w:r>
        <w:rPr>
          <w:rFonts w:hint="eastAsia" w:ascii="方正小标宋简体" w:hAnsi="方正小标宋简体" w:eastAsia="方正小标宋简体"/>
          <w:sz w:val="72"/>
          <w:szCs w:val="72"/>
        </w:rPr>
        <w:t>编制的说明</w:t>
      </w:r>
    </w:p>
    <w:p>
      <w:pPr>
        <w:jc w:val="center"/>
        <w:rPr>
          <w:rFonts w:ascii="方正小标宋简体" w:hAnsi="方正小标宋简体" w:eastAsia="方正小标宋简体"/>
          <w:sz w:val="72"/>
          <w:szCs w:val="72"/>
        </w:rPr>
      </w:pPr>
    </w:p>
    <w:p>
      <w:pPr>
        <w:widowControl/>
        <w:contextualSpacing/>
        <w:jc w:val="center"/>
        <w:rPr>
          <w:rFonts w:eastAsia="黑体"/>
          <w:color w:val="000000"/>
          <w:sz w:val="48"/>
          <w:szCs w:val="48"/>
        </w:rPr>
      </w:pPr>
      <w:r>
        <w:rPr>
          <w:rFonts w:eastAsia="方正小标宋简体"/>
          <w:color w:val="000000"/>
          <w:sz w:val="36"/>
          <w:szCs w:val="36"/>
        </w:rPr>
        <w:br w:type="page"/>
      </w:r>
    </w:p>
    <w:sdt>
      <w:sdtPr>
        <w:rPr>
          <w:rFonts w:ascii="宋体" w:hAnsi="宋体" w:eastAsia="宋体" w:cs="Times New Roman"/>
          <w:kern w:val="2"/>
          <w:sz w:val="21"/>
          <w:szCs w:val="24"/>
          <w:lang w:val="en-US" w:eastAsia="zh-CN" w:bidi="ar-SA"/>
        </w:rPr>
        <w:id w:val="147459001"/>
        <w15:color w:val="DBDBDB"/>
        <w:docPartObj>
          <w:docPartGallery w:val="Table of Contents"/>
          <w:docPartUnique/>
        </w:docPartObj>
      </w:sdtPr>
      <w:sdtEndPr>
        <w:rPr>
          <w:rStyle w:val="18"/>
          <w:rFonts w:hint="eastAsia" w:ascii="黑体" w:hAnsi="黑体" w:eastAsia="黑体" w:cstheme="minorBidi"/>
          <w:kern w:val="2"/>
          <w:sz w:val="24"/>
          <w:szCs w:val="24"/>
          <w:lang w:val="en-US" w:eastAsia="zh-CN" w:bidi="ar-SA"/>
        </w:rPr>
      </w:sdtEndPr>
      <w:sdtContent>
        <w:p>
          <w:pPr>
            <w:pStyle w:val="33"/>
            <w:spacing w:before="0" w:line="240" w:lineRule="auto"/>
            <w:contextualSpacing/>
            <w:jc w:val="center"/>
            <w:rPr>
              <w:rFonts w:eastAsia="黑体"/>
              <w:color w:val="000000"/>
              <w:sz w:val="48"/>
              <w:szCs w:val="48"/>
            </w:rPr>
          </w:pPr>
          <w:bookmarkStart w:id="15" w:name="_Toc51763398"/>
          <w:bookmarkStart w:id="16" w:name="_Toc15396599"/>
          <w:bookmarkStart w:id="17" w:name="_Toc15377196"/>
          <w:r>
            <w:rPr>
              <w:rFonts w:eastAsia="黑体"/>
              <w:color w:val="000000"/>
              <w:sz w:val="48"/>
              <w:szCs w:val="48"/>
            </w:rPr>
            <w:t>目</w:t>
          </w:r>
          <w:r>
            <w:rPr>
              <w:rFonts w:hint="eastAsia" w:eastAsia="黑体"/>
              <w:color w:val="000000"/>
              <w:sz w:val="48"/>
              <w:szCs w:val="48"/>
            </w:rPr>
            <w:t xml:space="preserve"> </w:t>
          </w:r>
          <w:r>
            <w:rPr>
              <w:rFonts w:eastAsia="黑体"/>
              <w:color w:val="000000"/>
              <w:sz w:val="48"/>
              <w:szCs w:val="48"/>
            </w:rPr>
            <w:t xml:space="preserve"> 录</w:t>
          </w:r>
        </w:p>
        <w:p>
          <w:pPr>
            <w:pStyle w:val="11"/>
            <w:spacing w:before="0"/>
            <w:contextualSpacing/>
            <w:rPr>
              <w:rFonts w:ascii="Times New Roman" w:hAnsi="Times New Roman"/>
            </w:rPr>
          </w:pPr>
          <w:r>
            <w:rPr>
              <w:rFonts w:ascii="Times New Roman" w:hAnsi="Times New Roman"/>
            </w:rPr>
            <w:t>公开时间：2021年</w:t>
          </w:r>
          <w:r>
            <w:rPr>
              <w:rFonts w:hint="eastAsia" w:ascii="Times New Roman" w:hAnsi="Times New Roman"/>
              <w:lang w:val="en-US" w:eastAsia="zh-CN"/>
            </w:rPr>
            <w:t>11</w:t>
          </w:r>
          <w:r>
            <w:rPr>
              <w:rFonts w:ascii="Times New Roman" w:hAnsi="Times New Roman"/>
            </w:rPr>
            <w:t>月2</w:t>
          </w:r>
          <w:r>
            <w:rPr>
              <w:rFonts w:hint="eastAsia" w:ascii="Times New Roman" w:hAnsi="Times New Roman"/>
              <w:lang w:val="en-US" w:eastAsia="zh-CN"/>
            </w:rPr>
            <w:t>3</w:t>
          </w:r>
          <w:r>
            <w:rPr>
              <w:rFonts w:ascii="Times New Roman" w:hAnsi="Times New Roman"/>
            </w:rPr>
            <w:t>日</w:t>
          </w:r>
        </w:p>
        <w:p>
          <w:pPr>
            <w:spacing w:before="0" w:beforeLines="0" w:after="0" w:afterLines="0" w:line="240" w:lineRule="auto"/>
            <w:ind w:left="0" w:leftChars="0" w:right="0" w:rightChars="0" w:firstLine="0" w:firstLineChars="0"/>
            <w:jc w:val="center"/>
            <w:rPr>
              <w:rFonts w:hint="eastAsia" w:ascii="仿宋" w:hAnsi="仿宋" w:eastAsia="仿宋" w:cs="仿宋"/>
              <w:color w:val="000000"/>
              <w:kern w:val="0"/>
              <w:sz w:val="32"/>
              <w:szCs w:val="32"/>
              <w:lang w:val="en-US" w:eastAsia="zh-CN" w:bidi="ar-SA"/>
            </w:rPr>
          </w:pPr>
        </w:p>
        <w:p>
          <w:pPr>
            <w:pStyle w:val="43"/>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TOC \o "1-2" \h \u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_Toc29965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第一部分 部门概况</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_Toc29965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3</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_Toc16850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一、基本职能及主要工作</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_Toc16850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3</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_Toc30134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二、机构设置</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_Toc30134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4</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3"/>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_Toc14691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第二部分 2020年度部门决算情况说明</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_Toc14691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6</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_Toc1667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一、收入支出决算总体情况说明</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_Toc1667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6</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_Toc29720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二、收入决算情况说明</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_Toc29720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6</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_Toc5160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三、支出决算情况说明</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_Toc5160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6</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_Toc639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四、财政拨款收入支出决算总体情况说明</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_Toc639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6</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_Toc28946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五、一般公共预算财政拨款支出决算情况说明</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_Toc28946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6</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_Toc18686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六、一般公共预算财政拨款基本支出决算情况说明</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_Toc18686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7</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_Toc9472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七、“三公”经费财政拨款支出决算情况说明</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_Toc9472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8</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_Toc14748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八、政府性基金预算支出决算情况说明</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_Toc14748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_Toc17934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九、 国有资本经营预算支出决算情况说明</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_Toc17934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_Toc13655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十、其他重要事项的情况说明</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_Toc13655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3"/>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_Toc3921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第三部分 名词解释</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_Toc3921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15</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3"/>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_Toc6351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第四部分 附件</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_Toc6351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18</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3"/>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_Toc18757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附件1</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_Toc18757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18</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3"/>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_Toc22404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第五部分 附表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_Toc22404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28</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_Toc31373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一、收入支出决算总表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_Toc31373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_Toc25105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二、收入决算表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_Toc25105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_Toc19418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三、支出决算表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_Toc19418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_Toc14067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四、财政拨款收入支出决算总表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_Toc14067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_Toc8185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五、财政拨款支出决算明细表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_Toc8185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_Toc15079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六、一般公共预算财政拨款支出决算表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_Toc15079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_Toc10577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七、一般公共预算财政拨款支出决算明细表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_Toc10577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_Toc7398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八、一般公共预算财政拨款基本支出决算表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_Toc7398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_Toc20573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九、一般公共预算财政拨款项目支出决算表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_Toc20573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_Toc27458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十、一般公共预算财政拨款“三公”经费支出决算表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_Toc27458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_Toc6886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十一、政府性基金预算财政拨款收入支出决算表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_Toc6886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_Toc27254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十二、政府性基金预算财政拨款“三公”经费支出决算表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_Toc27254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_Toc512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十三、国有资本经营预算财政拨款收入支出决算表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_Toc512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pStyle w:val="44"/>
            <w:tabs>
              <w:tab w:val="right" w:leader="dot" w:pos="8306"/>
            </w:tabs>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HYPERLINK \l _Toc931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十四、国有资本经营预算财政拨款支出决算表</w:t>
          </w:r>
          <w:r>
            <w:rPr>
              <w:rStyle w:val="18"/>
              <w:rFonts w:hint="eastAsia" w:ascii="黑体" w:hAnsi="黑体" w:eastAsia="黑体" w:cstheme="minorBidi"/>
              <w:kern w:val="2"/>
              <w:sz w:val="24"/>
              <w:szCs w:val="24"/>
              <w:lang w:val="en-US" w:eastAsia="zh-CN" w:bidi="ar-SA"/>
            </w:rPr>
            <w:tab/>
          </w:r>
          <w:r>
            <w:rPr>
              <w:rStyle w:val="18"/>
              <w:rFonts w:hint="eastAsia" w:ascii="黑体" w:hAnsi="黑体" w:eastAsia="黑体" w:cstheme="minorBidi"/>
              <w:kern w:val="2"/>
              <w:sz w:val="24"/>
              <w:szCs w:val="24"/>
              <w:lang w:val="en-US" w:eastAsia="zh-CN" w:bidi="ar-SA"/>
            </w:rPr>
            <w:fldChar w:fldCharType="begin"/>
          </w:r>
          <w:r>
            <w:rPr>
              <w:rStyle w:val="18"/>
              <w:rFonts w:hint="eastAsia" w:ascii="黑体" w:hAnsi="黑体" w:eastAsia="黑体" w:cstheme="minorBidi"/>
              <w:kern w:val="2"/>
              <w:sz w:val="24"/>
              <w:szCs w:val="24"/>
              <w:lang w:val="en-US" w:eastAsia="zh-CN" w:bidi="ar-SA"/>
            </w:rPr>
            <w:instrText xml:space="preserve"> PAGEREF _Toc931 \h </w:instrText>
          </w:r>
          <w:r>
            <w:rPr>
              <w:rStyle w:val="18"/>
              <w:rFonts w:hint="eastAsia" w:ascii="黑体" w:hAnsi="黑体" w:eastAsia="黑体" w:cstheme="minorBidi"/>
              <w:kern w:val="2"/>
              <w:sz w:val="24"/>
              <w:szCs w:val="24"/>
              <w:lang w:val="en-US" w:eastAsia="zh-CN" w:bidi="ar-SA"/>
            </w:rPr>
            <w:fldChar w:fldCharType="separate"/>
          </w:r>
          <w:r>
            <w:rPr>
              <w:rStyle w:val="18"/>
              <w:rFonts w:hint="eastAsia" w:ascii="黑体" w:hAnsi="黑体" w:eastAsia="黑体" w:cstheme="minorBidi"/>
              <w:kern w:val="2"/>
              <w:sz w:val="24"/>
              <w:szCs w:val="24"/>
              <w:lang w:val="en-US" w:eastAsia="zh-CN" w:bidi="ar-SA"/>
            </w:rPr>
            <w:t>29</w:t>
          </w:r>
          <w:r>
            <w:rPr>
              <w:rStyle w:val="18"/>
              <w:rFonts w:hint="eastAsia" w:ascii="黑体" w:hAnsi="黑体" w:eastAsia="黑体" w:cstheme="minorBidi"/>
              <w:kern w:val="2"/>
              <w:sz w:val="24"/>
              <w:szCs w:val="24"/>
              <w:lang w:val="en-US" w:eastAsia="zh-CN" w:bidi="ar-SA"/>
            </w:rPr>
            <w:fldChar w:fldCharType="end"/>
          </w:r>
          <w:r>
            <w:rPr>
              <w:rStyle w:val="18"/>
              <w:rFonts w:hint="eastAsia" w:ascii="黑体" w:hAnsi="黑体" w:eastAsia="黑体" w:cstheme="minorBidi"/>
              <w:kern w:val="2"/>
              <w:sz w:val="24"/>
              <w:szCs w:val="24"/>
              <w:lang w:val="en-US" w:eastAsia="zh-CN" w:bidi="ar-SA"/>
            </w:rPr>
            <w:fldChar w:fldCharType="end"/>
          </w:r>
        </w:p>
        <w:p>
          <w:pPr>
            <w:rPr>
              <w:rStyle w:val="18"/>
              <w:rFonts w:hint="eastAsia" w:ascii="黑体" w:hAnsi="黑体" w:eastAsia="黑体" w:cstheme="minorBidi"/>
              <w:kern w:val="2"/>
              <w:sz w:val="24"/>
              <w:szCs w:val="24"/>
              <w:lang w:val="en-US" w:eastAsia="zh-CN" w:bidi="ar-SA"/>
            </w:rPr>
          </w:pPr>
          <w:r>
            <w:rPr>
              <w:rStyle w:val="18"/>
              <w:rFonts w:hint="eastAsia" w:ascii="黑体" w:hAnsi="黑体" w:eastAsia="黑体" w:cstheme="minorBidi"/>
              <w:kern w:val="2"/>
              <w:sz w:val="24"/>
              <w:szCs w:val="24"/>
              <w:lang w:val="en-US" w:eastAsia="zh-CN" w:bidi="ar-SA"/>
            </w:rPr>
            <w:fldChar w:fldCharType="end"/>
          </w:r>
        </w:p>
      </w:sdtContent>
    </w:sdt>
    <w:p>
      <w:pPr>
        <w:pStyle w:val="3"/>
        <w:spacing w:before="0" w:after="0" w:line="240" w:lineRule="auto"/>
        <w:contextualSpacing/>
        <w:jc w:val="center"/>
        <w:rPr>
          <w:rFonts w:ascii="黑体" w:hAnsi="黑体" w:eastAsia="黑体"/>
          <w:b w:val="0"/>
          <w:bCs w:val="0"/>
        </w:rPr>
      </w:pPr>
      <w:bookmarkStart w:id="18" w:name="_Toc29965"/>
    </w:p>
    <w:p>
      <w:pPr>
        <w:pStyle w:val="3"/>
        <w:spacing w:before="0" w:after="0" w:line="240" w:lineRule="auto"/>
        <w:contextualSpacing/>
        <w:jc w:val="center"/>
        <w:rPr>
          <w:rFonts w:ascii="黑体" w:hAnsi="黑体" w:eastAsia="黑体"/>
          <w:b w:val="0"/>
          <w:bCs w:val="0"/>
        </w:rPr>
      </w:pPr>
    </w:p>
    <w:p>
      <w:pPr>
        <w:pStyle w:val="3"/>
        <w:spacing w:before="0" w:after="0" w:line="240" w:lineRule="auto"/>
        <w:contextualSpacing/>
        <w:jc w:val="center"/>
        <w:rPr>
          <w:rFonts w:ascii="黑体" w:hAnsi="黑体" w:eastAsia="黑体"/>
          <w:b w:val="0"/>
          <w:bCs w:val="0"/>
        </w:rPr>
      </w:pPr>
      <w:r>
        <w:rPr>
          <w:rFonts w:ascii="黑体" w:hAnsi="黑体" w:eastAsia="黑体"/>
          <w:b w:val="0"/>
          <w:bCs w:val="0"/>
        </w:rPr>
        <w:t>第一部分</w:t>
      </w:r>
      <w:r>
        <w:rPr>
          <w:rFonts w:hint="eastAsia" w:ascii="黑体" w:hAnsi="黑体" w:eastAsia="黑体"/>
          <w:b w:val="0"/>
          <w:bCs w:val="0"/>
        </w:rPr>
        <w:t xml:space="preserve"> 部门</w:t>
      </w:r>
      <w:r>
        <w:rPr>
          <w:rFonts w:ascii="黑体" w:hAnsi="黑体" w:eastAsia="黑体"/>
          <w:b w:val="0"/>
          <w:bCs w:val="0"/>
        </w:rPr>
        <w:t>概况</w:t>
      </w:r>
      <w:bookmarkEnd w:id="15"/>
      <w:bookmarkEnd w:id="16"/>
      <w:bookmarkEnd w:id="17"/>
      <w:bookmarkEnd w:id="18"/>
      <w:bookmarkStart w:id="19" w:name="_Toc15377197"/>
      <w:bookmarkStart w:id="20" w:name="_Toc15396600"/>
    </w:p>
    <w:p>
      <w:pPr>
        <w:pStyle w:val="4"/>
        <w:spacing w:before="0" w:after="0" w:line="240" w:lineRule="auto"/>
        <w:ind w:firstLine="640" w:firstLineChars="200"/>
        <w:contextualSpacing/>
        <w:outlineLvl w:val="9"/>
        <w:rPr>
          <w:rFonts w:ascii="黑体" w:hAnsi="黑体" w:eastAsia="黑体"/>
          <w:b w:val="0"/>
          <w:bCs w:val="0"/>
        </w:rPr>
      </w:pPr>
      <w:bookmarkStart w:id="21" w:name="_Toc51763399"/>
    </w:p>
    <w:p>
      <w:pPr>
        <w:pStyle w:val="4"/>
        <w:spacing w:before="0" w:after="0" w:line="240" w:lineRule="auto"/>
        <w:ind w:firstLine="640" w:firstLineChars="200"/>
        <w:contextualSpacing/>
        <w:rPr>
          <w:rFonts w:hint="eastAsia" w:ascii="黑体" w:hAnsi="黑体" w:eastAsia="黑体"/>
          <w:b w:val="0"/>
          <w:bCs w:val="0"/>
          <w:lang w:val="en-US" w:eastAsia="zh-CN"/>
        </w:rPr>
      </w:pPr>
      <w:bookmarkStart w:id="22" w:name="_Toc16850"/>
      <w:r>
        <w:rPr>
          <w:rFonts w:hint="eastAsia" w:ascii="黑体" w:hAnsi="黑体" w:eastAsia="黑体"/>
          <w:b w:val="0"/>
          <w:bCs w:val="0"/>
          <w:lang w:val="en-US" w:eastAsia="zh-CN"/>
        </w:rPr>
        <w:t>一、基本职能及主要工作</w:t>
      </w:r>
      <w:bookmarkEnd w:id="19"/>
      <w:bookmarkEnd w:id="20"/>
      <w:bookmarkEnd w:id="21"/>
      <w:bookmarkEnd w:id="22"/>
      <w:bookmarkStart w:id="23" w:name="_Toc51763400"/>
      <w:bookmarkStart w:id="24" w:name="_Toc15378445"/>
      <w:bookmarkStart w:id="25" w:name="_Toc15377198"/>
    </w:p>
    <w:p>
      <w:pPr>
        <w:ind w:firstLine="643" w:firstLineChars="200"/>
        <w:rPr>
          <w:rFonts w:hint="eastAsia" w:ascii="楷体" w:hAnsi="楷体" w:eastAsia="楷体" w:cs="Times New Roman"/>
          <w:b/>
          <w:bCs/>
          <w:sz w:val="32"/>
          <w:szCs w:val="32"/>
          <w:lang w:val="en-US" w:eastAsia="zh-CN"/>
        </w:rPr>
      </w:pPr>
      <w:r>
        <w:rPr>
          <w:rFonts w:hint="eastAsia" w:ascii="楷体" w:hAnsi="楷体" w:eastAsia="楷体" w:cs="Times New Roman"/>
          <w:b/>
          <w:bCs/>
          <w:sz w:val="32"/>
          <w:szCs w:val="32"/>
          <w:lang w:val="en-US" w:eastAsia="zh-CN"/>
        </w:rPr>
        <w:t>（一）主要职能</w:t>
      </w:r>
      <w:bookmarkEnd w:id="23"/>
      <w:bookmarkEnd w:id="24"/>
      <w:bookmarkEnd w:id="25"/>
      <w:bookmarkStart w:id="26" w:name="_Toc51763401"/>
      <w:bookmarkStart w:id="27" w:name="_Toc15377199"/>
      <w:bookmarkStart w:id="28" w:name="_Toc15378446"/>
    </w:p>
    <w:bookmarkEnd w:id="26"/>
    <w:p>
      <w:pPr>
        <w:pStyle w:val="30"/>
        <w:spacing w:line="560" w:lineRule="exact"/>
        <w:ind w:firstLine="640" w:firstLineChars="200"/>
        <w:rPr>
          <w:rFonts w:hint="eastAsia" w:ascii="Times New Roman" w:hAnsi="Times New Roman" w:eastAsia="仿宋" w:cs="Times New Roman"/>
          <w:b w:val="0"/>
          <w:bCs w:val="0"/>
          <w:color w:val="000000"/>
          <w:kern w:val="2"/>
          <w:sz w:val="32"/>
          <w:szCs w:val="32"/>
          <w:lang w:val="en-US" w:eastAsia="zh-CN" w:bidi="ar-SA"/>
        </w:rPr>
      </w:pPr>
      <w:bookmarkStart w:id="29" w:name="_Toc51763402"/>
      <w:r>
        <w:rPr>
          <w:rFonts w:hint="eastAsia" w:ascii="Times New Roman" w:hAnsi="Times New Roman" w:eastAsia="仿宋" w:cs="Times New Roman"/>
          <w:b w:val="0"/>
          <w:bCs w:val="0"/>
          <w:color w:val="000000"/>
          <w:kern w:val="2"/>
          <w:sz w:val="32"/>
          <w:szCs w:val="32"/>
          <w:lang w:val="en-US" w:eastAsia="zh-CN" w:bidi="ar-SA"/>
        </w:rPr>
        <w:t>在全县公共资源集中进行市场化配置服务，集中履行县政府授权的全县公共资源交易职能。</w:t>
      </w:r>
    </w:p>
    <w:p>
      <w:pPr>
        <w:ind w:firstLine="643" w:firstLineChars="200"/>
        <w:rPr>
          <w:rFonts w:hint="eastAsia" w:ascii="楷体" w:hAnsi="楷体" w:eastAsia="楷体" w:cs="Times New Roman"/>
          <w:b/>
          <w:bCs/>
          <w:sz w:val="32"/>
          <w:szCs w:val="32"/>
          <w:lang w:val="en-US" w:eastAsia="zh-CN"/>
        </w:rPr>
      </w:pPr>
      <w:r>
        <w:rPr>
          <w:rFonts w:hint="eastAsia" w:ascii="楷体" w:hAnsi="楷体" w:eastAsia="楷体" w:cs="Times New Roman"/>
          <w:b/>
          <w:bCs/>
          <w:sz w:val="32"/>
          <w:szCs w:val="32"/>
          <w:lang w:val="en-US" w:eastAsia="zh-CN"/>
        </w:rPr>
        <w:t>（二）2020年重点工作完成情况</w:t>
      </w:r>
      <w:bookmarkEnd w:id="27"/>
      <w:bookmarkEnd w:id="28"/>
      <w:bookmarkEnd w:id="29"/>
    </w:p>
    <w:p>
      <w:pPr>
        <w:snapToGrid w:val="0"/>
        <w:spacing w:line="620" w:lineRule="exact"/>
        <w:ind w:firstLine="640" w:firstLineChars="200"/>
        <w:rPr>
          <w:rFonts w:hint="eastAsia" w:ascii="Times New Roman" w:hAnsi="Times New Roman" w:eastAsia="仿宋" w:cs="Times New Roman"/>
          <w:b w:val="0"/>
          <w:bCs w:val="0"/>
          <w:color w:val="000000"/>
          <w:kern w:val="2"/>
          <w:sz w:val="32"/>
          <w:szCs w:val="32"/>
          <w:lang w:val="en-US" w:eastAsia="zh-CN" w:bidi="ar-SA"/>
        </w:rPr>
      </w:pPr>
      <w:bookmarkStart w:id="30" w:name="_Toc15396601"/>
      <w:bookmarkStart w:id="31" w:name="_Toc15377200"/>
      <w:bookmarkStart w:id="32" w:name="_Toc51763403"/>
      <w:r>
        <w:rPr>
          <w:rFonts w:hint="eastAsia" w:ascii="Times New Roman" w:hAnsi="Times New Roman" w:eastAsia="仿宋" w:cs="Times New Roman"/>
          <w:b w:val="0"/>
          <w:bCs w:val="0"/>
          <w:color w:val="000000"/>
          <w:kern w:val="2"/>
          <w:sz w:val="32"/>
          <w:szCs w:val="32"/>
          <w:lang w:val="en-US" w:eastAsia="zh-CN" w:bidi="ar-SA"/>
        </w:rPr>
        <w:t>1.依法依规，抓好公共资源交易服务。2020年一般政府采购成交56个项目，预算金额7548.82万元，中标金额7223.61万元，节约金额325.21万元，节约率为4.5%；网上竞价成交108个项目，预算金额599.91万元，成交金额582.85万元，节约金额17.13万元，节约率为2.9%。</w:t>
      </w:r>
    </w:p>
    <w:p>
      <w:pPr>
        <w:spacing w:line="580" w:lineRule="atLeast"/>
        <w:ind w:firstLine="64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组织国有土地使用权交易14批次，土地交易成交29宗，成交土地起始价总额107591.95万元，成交价110614.55万元,增值3022.6万元。</w:t>
      </w:r>
    </w:p>
    <w:p>
      <w:pPr>
        <w:snapToGrid w:val="0"/>
        <w:spacing w:line="620" w:lineRule="exact"/>
        <w:ind w:firstLine="640" w:firstLineChars="20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组织采矿权挂牌交易1宗，起始价850万元，成交价4720万元，增值3870万元。</w:t>
      </w:r>
    </w:p>
    <w:p>
      <w:pPr>
        <w:spacing w:line="580" w:lineRule="atLeast"/>
        <w:ind w:firstLine="64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组织国有资产处置交易26批次，成交标的47件，成交标的中有40件评估价373.86万，成交价461.32万，增值87.46万元；</w:t>
      </w:r>
    </w:p>
    <w:p>
      <w:pPr>
        <w:spacing w:line="580" w:lineRule="atLeast"/>
        <w:ind w:firstLine="64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组织集体经营性建设用地交易8批次：拍卖出让3个批次，起始价185.61万元，成交价185.61万元；挂牌2个批次，成交4宗，起始价1812.53万元，成交价1812.53万元；协议出让3个批次26宗地，协议出让价3442.45万元。</w:t>
      </w:r>
    </w:p>
    <w:p>
      <w:pPr>
        <w:snapToGrid w:val="0"/>
        <w:spacing w:line="620" w:lineRule="exact"/>
        <w:ind w:firstLine="640" w:firstLineChars="20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2.以创建“示范交易中心”为抓手，提升交易服务水平。提升“软实力”。启动“示范交易中心”创建工作，深入推进公共资源交易平台体系建设；疫情期间开通政府采购项目绿色通道，保障交易项目有序进行；组织职工外出学习“两化”经验，提升管理和服务水平。</w:t>
      </w:r>
    </w:p>
    <w:p>
      <w:pPr>
        <w:snapToGrid w:val="0"/>
        <w:spacing w:line="620" w:lineRule="exact"/>
        <w:ind w:firstLine="640" w:firstLineChars="200"/>
        <w:rPr>
          <w:rFonts w:hint="eastAsia" w:ascii="Times New Roman" w:hAnsi="Times New Roman" w:eastAsia="仿宋" w:cs="Times New Roman"/>
          <w:b w:val="0"/>
          <w:bCs w:val="0"/>
          <w:color w:val="000000"/>
          <w:kern w:val="2"/>
          <w:sz w:val="32"/>
          <w:szCs w:val="32"/>
          <w:lang w:val="en-US" w:eastAsia="zh-CN" w:bidi="ar-SA"/>
        </w:rPr>
      </w:pPr>
      <w:r>
        <w:rPr>
          <w:rFonts w:hint="eastAsia" w:ascii="Times New Roman" w:hAnsi="Times New Roman" w:eastAsia="仿宋" w:cs="Times New Roman"/>
          <w:b w:val="0"/>
          <w:bCs w:val="0"/>
          <w:color w:val="000000"/>
          <w:kern w:val="2"/>
          <w:sz w:val="32"/>
          <w:szCs w:val="32"/>
          <w:lang w:val="en-US" w:eastAsia="zh-CN" w:bidi="ar-SA"/>
        </w:rPr>
        <w:t>3.加快平台建设，努力实现交易全程电子化。搭建“硬平台”。出资7.95万元添置3套多因子评标互动终端、7台手写签字板、3套远程异地评标视频终端等专业设备，提升硬件水平；加强与省、市交易平台对接，实现数据互联互通、信息资源共享。</w:t>
      </w:r>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b w:val="0"/>
          <w:bCs w:val="0"/>
          <w:color w:val="000000"/>
          <w:kern w:val="2"/>
          <w:sz w:val="32"/>
          <w:szCs w:val="32"/>
          <w:lang w:val="en-US" w:eastAsia="zh-CN" w:bidi="ar-SA"/>
        </w:rPr>
        <w:t>4.持续优化营商环境。打造“好环境”。在编制招标文件时落实负面清单，清理提高准入门槛行为，激活市场主体活力；针对关注度高的大宗采购、公共服务等项目，采取提前介入、依法建议、共同或协商等方式，营造流程简、效率高、服务优的公共资源交易营商环境。</w:t>
      </w:r>
    </w:p>
    <w:p>
      <w:pPr>
        <w:pStyle w:val="4"/>
        <w:spacing w:before="0" w:after="0" w:line="240" w:lineRule="auto"/>
        <w:ind w:firstLine="640" w:firstLineChars="200"/>
        <w:contextualSpacing/>
        <w:rPr>
          <w:rFonts w:hint="eastAsia" w:ascii="黑体" w:hAnsi="黑体" w:eastAsia="黑体"/>
          <w:b w:val="0"/>
          <w:bCs w:val="0"/>
        </w:rPr>
      </w:pPr>
      <w:bookmarkStart w:id="33" w:name="_Toc30134"/>
      <w:r>
        <w:rPr>
          <w:rFonts w:hint="eastAsia" w:ascii="黑体" w:hAnsi="黑体" w:eastAsia="黑体"/>
          <w:b w:val="0"/>
          <w:bCs w:val="0"/>
        </w:rPr>
        <w:t>二、机构设置</w:t>
      </w:r>
      <w:bookmarkEnd w:id="30"/>
      <w:bookmarkEnd w:id="31"/>
      <w:bookmarkEnd w:id="32"/>
      <w:bookmarkEnd w:id="33"/>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泸县公共资源交易中心成立于2011年8月，为一级预算单位，属全额拨款事业单位，无下属二级预算单位，内设办公室、工程采购股、资产地矿股、监审股，核定事业编制人员19名，现有在编人员18名。</w:t>
      </w:r>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2017年11月，中共泸县县委机构编制委员会设立泸县政府采购中心，与泸县公共资源交易中心实行一个机构、两块牌子的管理方式。</w:t>
      </w:r>
    </w:p>
    <w:p>
      <w:pPr>
        <w:widowControl/>
        <w:ind w:firstLine="640" w:firstLineChars="200"/>
        <w:contextualSpacing/>
        <w:rPr>
          <w:rFonts w:eastAsia="仿宋_GB2312"/>
          <w:color w:val="000000"/>
          <w:kern w:val="0"/>
          <w:sz w:val="32"/>
          <w:szCs w:val="32"/>
        </w:rPr>
      </w:pPr>
      <w:r>
        <w:rPr>
          <w:rFonts w:eastAsia="仿宋"/>
          <w:color w:val="000000"/>
          <w:sz w:val="32"/>
          <w:szCs w:val="32"/>
        </w:rPr>
        <w:br w:type="page"/>
      </w:r>
    </w:p>
    <w:p>
      <w:pPr>
        <w:pStyle w:val="3"/>
        <w:spacing w:before="0" w:after="0" w:line="580" w:lineRule="atLeast"/>
        <w:jc w:val="right"/>
        <w:outlineLvl w:val="9"/>
        <w:rPr>
          <w:rFonts w:eastAsia="黑体"/>
          <w:b w:val="0"/>
          <w:color w:val="000000"/>
        </w:rPr>
      </w:pPr>
    </w:p>
    <w:p>
      <w:pPr>
        <w:pStyle w:val="3"/>
        <w:spacing w:before="0" w:after="0" w:line="240" w:lineRule="auto"/>
        <w:contextualSpacing/>
        <w:jc w:val="center"/>
        <w:rPr>
          <w:rFonts w:ascii="黑体" w:hAnsi="黑体" w:eastAsia="黑体" w:cs="Times New Roman"/>
          <w:b w:val="0"/>
          <w:bCs w:val="0"/>
        </w:rPr>
      </w:pPr>
      <w:bookmarkStart w:id="34" w:name="_Toc14691"/>
      <w:r>
        <w:rPr>
          <w:rFonts w:ascii="黑体" w:hAnsi="黑体" w:eastAsia="黑体" w:cs="Times New Roman"/>
          <w:b w:val="0"/>
          <w:bCs w:val="0"/>
        </w:rPr>
        <w:t>第二部分 2020年度部门决算情况说明</w:t>
      </w:r>
      <w:bookmarkEnd w:id="34"/>
    </w:p>
    <w:p>
      <w:pPr>
        <w:spacing w:line="580" w:lineRule="atLeast"/>
      </w:pPr>
    </w:p>
    <w:p>
      <w:pPr>
        <w:pStyle w:val="31"/>
        <w:spacing w:line="580" w:lineRule="atLeast"/>
        <w:ind w:firstLine="640"/>
        <w:outlineLvl w:val="1"/>
        <w:rPr>
          <w:rStyle w:val="40"/>
          <w:rFonts w:ascii="Times New Roman" w:hAnsi="Times New Roman" w:eastAsia="黑体"/>
          <w:b w:val="0"/>
        </w:rPr>
      </w:pPr>
      <w:bookmarkStart w:id="35" w:name="_Toc15377205"/>
      <w:bookmarkStart w:id="36" w:name="_Toc15396603"/>
      <w:bookmarkStart w:id="37" w:name="_Toc1667"/>
      <w:r>
        <w:rPr>
          <w:rFonts w:eastAsia="黑体"/>
          <w:color w:val="000000"/>
          <w:sz w:val="32"/>
          <w:szCs w:val="32"/>
        </w:rPr>
        <w:t>一、收</w:t>
      </w:r>
      <w:r>
        <w:rPr>
          <w:rStyle w:val="40"/>
          <w:rFonts w:ascii="Times New Roman" w:hAnsi="Times New Roman" w:eastAsia="黑体"/>
          <w:b w:val="0"/>
        </w:rPr>
        <w:t>入支出决算总体情况说明</w:t>
      </w:r>
      <w:bookmarkEnd w:id="35"/>
      <w:bookmarkEnd w:id="36"/>
      <w:bookmarkEnd w:id="37"/>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2020年度收入、支出总计423.2万元，与2019年相比，减少7.24万元，同比减少1.68%。主要变动原因是：缩减预算，压缩开支，厉行节约。</w:t>
      </w:r>
      <w:bookmarkStart w:id="38" w:name="_Toc15396604"/>
      <w:bookmarkStart w:id="39" w:name="_Toc15377206"/>
    </w:p>
    <w:p>
      <w:pPr>
        <w:pStyle w:val="31"/>
        <w:spacing w:line="580" w:lineRule="atLeast"/>
        <w:ind w:left="-720" w:firstLine="1280" w:firstLineChars="400"/>
        <w:outlineLvl w:val="1"/>
        <w:rPr>
          <w:rStyle w:val="40"/>
          <w:rFonts w:ascii="Times New Roman" w:hAnsi="Times New Roman" w:eastAsia="黑体"/>
          <w:b w:val="0"/>
        </w:rPr>
      </w:pPr>
      <w:bookmarkStart w:id="40" w:name="_Toc29720"/>
      <w:r>
        <w:rPr>
          <w:rFonts w:eastAsia="黑体"/>
          <w:color w:val="000000"/>
          <w:sz w:val="32"/>
          <w:szCs w:val="32"/>
        </w:rPr>
        <w:t>二、收</w:t>
      </w:r>
      <w:r>
        <w:rPr>
          <w:rStyle w:val="40"/>
          <w:rFonts w:ascii="Times New Roman" w:hAnsi="Times New Roman" w:eastAsia="黑体"/>
          <w:b w:val="0"/>
        </w:rPr>
        <w:t>入决算情况说明</w:t>
      </w:r>
      <w:bookmarkEnd w:id="38"/>
      <w:bookmarkEnd w:id="39"/>
      <w:bookmarkEnd w:id="40"/>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2020年本年收入合计322.01万元，其中：一般公共预算财政拨款收入322.01万元，占100%。</w:t>
      </w:r>
    </w:p>
    <w:p>
      <w:pPr>
        <w:pStyle w:val="31"/>
        <w:spacing w:line="580" w:lineRule="atLeast"/>
        <w:ind w:firstLine="640"/>
        <w:outlineLvl w:val="1"/>
        <w:rPr>
          <w:rStyle w:val="40"/>
          <w:rFonts w:ascii="Times New Roman" w:hAnsi="Times New Roman" w:eastAsia="黑体"/>
          <w:b w:val="0"/>
        </w:rPr>
      </w:pPr>
      <w:bookmarkStart w:id="41" w:name="_Toc15377207"/>
      <w:bookmarkStart w:id="42" w:name="_Toc15396605"/>
      <w:bookmarkStart w:id="43" w:name="_Toc5160"/>
      <w:r>
        <w:rPr>
          <w:rFonts w:eastAsia="黑体"/>
          <w:color w:val="000000"/>
          <w:sz w:val="32"/>
          <w:szCs w:val="32"/>
        </w:rPr>
        <w:t>三、支</w:t>
      </w:r>
      <w:r>
        <w:rPr>
          <w:rStyle w:val="40"/>
          <w:rFonts w:ascii="Times New Roman" w:hAnsi="Times New Roman" w:eastAsia="黑体"/>
          <w:b w:val="0"/>
        </w:rPr>
        <w:t>出决算情况说明</w:t>
      </w:r>
      <w:bookmarkEnd w:id="41"/>
      <w:bookmarkEnd w:id="42"/>
      <w:bookmarkEnd w:id="43"/>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2020年本年支出合计423.2万元，其中：基本支出274.83万元，占64.94%；项目支出148.37万元，占35.06%。</w:t>
      </w:r>
    </w:p>
    <w:p>
      <w:pPr>
        <w:spacing w:line="580" w:lineRule="atLeast"/>
        <w:ind w:firstLine="640" w:firstLineChars="200"/>
        <w:outlineLvl w:val="1"/>
        <w:rPr>
          <w:rStyle w:val="40"/>
          <w:rFonts w:ascii="Times New Roman" w:hAnsi="Times New Roman" w:eastAsia="黑体"/>
          <w:b w:val="0"/>
        </w:rPr>
      </w:pPr>
      <w:bookmarkStart w:id="44" w:name="_Toc15377208"/>
      <w:bookmarkStart w:id="45" w:name="_Toc15396606"/>
      <w:bookmarkStart w:id="46" w:name="_Toc639"/>
      <w:r>
        <w:rPr>
          <w:rFonts w:eastAsia="黑体"/>
          <w:color w:val="000000"/>
          <w:sz w:val="32"/>
          <w:szCs w:val="32"/>
        </w:rPr>
        <w:t>四、财</w:t>
      </w:r>
      <w:r>
        <w:rPr>
          <w:rStyle w:val="40"/>
          <w:rFonts w:ascii="Times New Roman" w:hAnsi="Times New Roman" w:eastAsia="黑体"/>
          <w:b w:val="0"/>
        </w:rPr>
        <w:t>政拨款收入支出决算总体情况说明</w:t>
      </w:r>
      <w:bookmarkEnd w:id="44"/>
      <w:bookmarkEnd w:id="45"/>
      <w:bookmarkEnd w:id="46"/>
    </w:p>
    <w:p>
      <w:pPr>
        <w:ind w:firstLine="640"/>
        <w:contextualSpacing/>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2020年财政拨款收、支总计423.2万元。与2019年相比减少7.24万元，下降1.68%。主要变动原因是：缩减预算，压缩开支，厉行节约。</w:t>
      </w:r>
    </w:p>
    <w:p>
      <w:pPr>
        <w:spacing w:line="580" w:lineRule="atLeast"/>
        <w:ind w:firstLine="640" w:firstLineChars="200"/>
        <w:outlineLvl w:val="1"/>
        <w:rPr>
          <w:rStyle w:val="40"/>
          <w:rFonts w:ascii="Times New Roman" w:hAnsi="Times New Roman" w:eastAsia="黑体"/>
          <w:b w:val="0"/>
        </w:rPr>
      </w:pPr>
      <w:bookmarkStart w:id="47" w:name="_Toc15377209"/>
      <w:bookmarkStart w:id="48" w:name="_Toc15396607"/>
      <w:bookmarkStart w:id="49" w:name="_Toc28946"/>
      <w:r>
        <w:rPr>
          <w:rFonts w:eastAsia="黑体"/>
          <w:color w:val="000000"/>
          <w:sz w:val="32"/>
          <w:szCs w:val="32"/>
        </w:rPr>
        <w:t>五、</w:t>
      </w:r>
      <w:r>
        <w:rPr>
          <w:rFonts w:eastAsia="黑体"/>
          <w:b/>
          <w:color w:val="000000"/>
          <w:sz w:val="32"/>
          <w:szCs w:val="32"/>
        </w:rPr>
        <w:t>一</w:t>
      </w:r>
      <w:r>
        <w:rPr>
          <w:rStyle w:val="40"/>
          <w:rFonts w:ascii="Times New Roman" w:hAnsi="Times New Roman" w:eastAsia="黑体"/>
          <w:b w:val="0"/>
        </w:rPr>
        <w:t>般公共预算财政拨款支出决算情况说明</w:t>
      </w:r>
      <w:bookmarkEnd w:id="47"/>
      <w:bookmarkEnd w:id="48"/>
      <w:bookmarkEnd w:id="49"/>
    </w:p>
    <w:p>
      <w:pPr>
        <w:spacing w:line="580" w:lineRule="atLeast"/>
        <w:ind w:firstLine="643" w:firstLineChars="200"/>
        <w:outlineLvl w:val="2"/>
        <w:rPr>
          <w:rFonts w:eastAsia="仿宋"/>
          <w:b/>
          <w:color w:val="000000"/>
          <w:sz w:val="32"/>
          <w:szCs w:val="32"/>
        </w:rPr>
      </w:pPr>
      <w:bookmarkStart w:id="50" w:name="_Toc15377210"/>
      <w:r>
        <w:rPr>
          <w:rFonts w:eastAsia="仿宋"/>
          <w:b/>
          <w:color w:val="000000"/>
          <w:sz w:val="32"/>
          <w:szCs w:val="32"/>
        </w:rPr>
        <w:t>（一）一般公共预算财政拨款支出决算总体情况</w:t>
      </w:r>
      <w:bookmarkEnd w:id="50"/>
    </w:p>
    <w:p>
      <w:pPr>
        <w:spacing w:line="580" w:lineRule="atLeast"/>
        <w:ind w:firstLine="640"/>
        <w:rPr>
          <w:rFonts w:hint="eastAsia" w:eastAsia="仿宋_GB2312"/>
          <w:color w:val="323232"/>
          <w:kern w:val="0"/>
          <w:sz w:val="32"/>
          <w:szCs w:val="32"/>
          <w:lang w:val="en-US" w:eastAsia="zh-CN"/>
        </w:rPr>
      </w:pPr>
      <w:r>
        <w:rPr>
          <w:rFonts w:hint="eastAsia" w:ascii="Times New Roman" w:hAnsi="Times New Roman" w:eastAsia="仿宋" w:cs="Times New Roman"/>
          <w:color w:val="000000"/>
          <w:sz w:val="32"/>
          <w:szCs w:val="32"/>
          <w:lang w:val="en-US" w:eastAsia="zh-CN"/>
        </w:rPr>
        <w:t>2020年一般公共预算财政拨款支出423.2万元，占本年支出合计的100%。与2019年相比减少7.24万元，下降1.68%。主要变动原因是：缩减预算，压缩开支，厉行节约。</w:t>
      </w:r>
      <w:r>
        <w:rPr>
          <w:rFonts w:hint="eastAsia" w:eastAsia="仿宋_GB2312"/>
          <w:color w:val="323232"/>
          <w:kern w:val="0"/>
          <w:sz w:val="32"/>
          <w:szCs w:val="32"/>
          <w:lang w:val="en-US" w:eastAsia="zh-CN"/>
        </w:rPr>
        <w:t xml:space="preserve">   </w:t>
      </w:r>
    </w:p>
    <w:p>
      <w:pPr>
        <w:snapToGrid w:val="0"/>
        <w:spacing w:line="620" w:lineRule="exact"/>
        <w:ind w:firstLine="640" w:firstLineChars="200"/>
        <w:rPr>
          <w:rFonts w:hint="default" w:eastAsia="仿宋"/>
          <w:color w:val="000000"/>
          <w:sz w:val="32"/>
          <w:szCs w:val="32"/>
          <w:lang w:val="en-US"/>
        </w:rPr>
      </w:pPr>
      <w:r>
        <w:rPr>
          <w:rFonts w:hint="eastAsia" w:eastAsia="仿宋_GB2312"/>
          <w:color w:val="323232"/>
          <w:kern w:val="0"/>
          <w:sz w:val="32"/>
          <w:szCs w:val="32"/>
          <w:lang w:val="en-US" w:eastAsia="zh-CN"/>
        </w:rPr>
        <w:t xml:space="preserve"> </w:t>
      </w:r>
      <w:r>
        <w:rPr>
          <w:rFonts w:hint="eastAsia" w:ascii="宋体" w:hAnsi="宋体" w:cs="宋体"/>
          <w:b w:val="0"/>
          <w:bCs w:val="0"/>
          <w:color w:val="000000"/>
          <w:sz w:val="28"/>
          <w:szCs w:val="28"/>
          <w:shd w:val="clear" w:color="auto" w:fill="FFFFFF"/>
          <w:lang w:val="en-US" w:eastAsia="zh-CN"/>
        </w:rPr>
        <w:t xml:space="preserve">                                                                                                                                                                                                                                                                                         </w:t>
      </w:r>
    </w:p>
    <w:p>
      <w:pPr>
        <w:spacing w:line="580" w:lineRule="atLeast"/>
        <w:ind w:firstLine="643" w:firstLineChars="200"/>
        <w:outlineLvl w:val="2"/>
        <w:rPr>
          <w:rFonts w:eastAsia="仿宋"/>
          <w:b/>
          <w:color w:val="000000"/>
          <w:sz w:val="32"/>
          <w:szCs w:val="32"/>
        </w:rPr>
      </w:pPr>
      <w:bookmarkStart w:id="51" w:name="_Toc15377211"/>
      <w:r>
        <w:rPr>
          <w:rFonts w:eastAsia="仿宋"/>
          <w:b/>
          <w:color w:val="000000"/>
          <w:sz w:val="32"/>
          <w:szCs w:val="32"/>
        </w:rPr>
        <w:t>（二）一般公共预算财政拨款支出决算结构情况</w:t>
      </w:r>
      <w:bookmarkEnd w:id="51"/>
    </w:p>
    <w:p>
      <w:pPr>
        <w:snapToGrid w:val="0"/>
        <w:spacing w:line="620" w:lineRule="exact"/>
        <w:ind w:firstLine="643" w:firstLineChars="200"/>
        <w:rPr>
          <w:rFonts w:hint="eastAsia" w:eastAsia="仿宋_GB2312"/>
          <w:color w:val="323232"/>
          <w:kern w:val="0"/>
          <w:sz w:val="32"/>
          <w:szCs w:val="32"/>
          <w:lang w:val="en-US" w:eastAsia="zh-CN"/>
        </w:rPr>
      </w:pPr>
      <w:r>
        <w:rPr>
          <w:rFonts w:hint="eastAsia" w:eastAsia="仿宋"/>
          <w:b/>
          <w:color w:val="000000"/>
          <w:sz w:val="32"/>
          <w:szCs w:val="32"/>
          <w:lang w:val="en-US" w:eastAsia="zh-CN"/>
        </w:rPr>
        <w:t>2020年一般公共预算财政拨款支出</w:t>
      </w:r>
      <w:r>
        <w:rPr>
          <w:rFonts w:hint="eastAsia" w:eastAsia="仿宋_GB2312"/>
          <w:color w:val="323232"/>
          <w:kern w:val="0"/>
          <w:sz w:val="32"/>
          <w:szCs w:val="32"/>
          <w:lang w:val="en-US" w:eastAsia="zh-CN"/>
        </w:rPr>
        <w:t>423.2万元，主要用于以下方面:</w:t>
      </w:r>
      <w:r>
        <w:rPr>
          <w:rFonts w:hint="eastAsia" w:eastAsia="仿宋"/>
          <w:b/>
          <w:color w:val="000000"/>
          <w:sz w:val="32"/>
          <w:szCs w:val="32"/>
          <w:lang w:val="en-US" w:eastAsia="zh-CN"/>
        </w:rPr>
        <w:t>一般公共服务（类）支出</w:t>
      </w:r>
      <w:r>
        <w:rPr>
          <w:rFonts w:hint="eastAsia" w:eastAsia="仿宋_GB2312"/>
          <w:color w:val="323232"/>
          <w:kern w:val="0"/>
          <w:sz w:val="32"/>
          <w:szCs w:val="32"/>
          <w:lang w:val="en-US" w:eastAsia="zh-CN"/>
        </w:rPr>
        <w:t>381.24万元，占</w:t>
      </w:r>
      <w:r>
        <w:rPr>
          <w:rFonts w:hint="eastAsia" w:eastAsia="仿宋_GB2312"/>
          <w:color w:val="323232"/>
          <w:kern w:val="0"/>
          <w:sz w:val="32"/>
          <w:szCs w:val="32"/>
          <w:lang w:val="en-US" w:eastAsia="zh-CN"/>
        </w:rPr>
        <w:t>90.09%；</w:t>
      </w:r>
      <w:r>
        <w:rPr>
          <w:rFonts w:hint="eastAsia" w:eastAsia="仿宋"/>
          <w:b/>
          <w:color w:val="000000"/>
          <w:sz w:val="32"/>
          <w:szCs w:val="32"/>
          <w:lang w:val="en-US" w:eastAsia="zh-CN"/>
        </w:rPr>
        <w:t>社会保障和就业（类）支出</w:t>
      </w:r>
      <w:r>
        <w:rPr>
          <w:rFonts w:hint="eastAsia" w:eastAsia="仿宋_GB2312"/>
          <w:color w:val="323232"/>
          <w:kern w:val="0"/>
          <w:sz w:val="32"/>
          <w:szCs w:val="32"/>
          <w:lang w:val="en-US" w:eastAsia="zh-CN"/>
        </w:rPr>
        <w:t>18.14万元，占</w:t>
      </w:r>
      <w:r>
        <w:rPr>
          <w:rFonts w:hint="eastAsia" w:eastAsia="仿宋_GB2312"/>
          <w:color w:val="323232"/>
          <w:kern w:val="0"/>
          <w:sz w:val="32"/>
          <w:szCs w:val="32"/>
          <w:lang w:val="en-US" w:eastAsia="zh-CN"/>
        </w:rPr>
        <w:t>4.29%；</w:t>
      </w:r>
      <w:r>
        <w:rPr>
          <w:rFonts w:hint="eastAsia" w:eastAsia="仿宋_GB2312"/>
          <w:color w:val="323232"/>
          <w:kern w:val="0"/>
          <w:sz w:val="32"/>
          <w:szCs w:val="32"/>
          <w:lang w:val="en-US" w:eastAsia="zh-CN"/>
        </w:rPr>
        <w:t xml:space="preserve">                                  </w:t>
      </w:r>
      <w:r>
        <w:rPr>
          <w:rFonts w:hint="eastAsia" w:eastAsia="仿宋"/>
          <w:b/>
          <w:color w:val="000000"/>
          <w:sz w:val="32"/>
          <w:szCs w:val="32"/>
          <w:lang w:val="en-US" w:eastAsia="zh-CN"/>
        </w:rPr>
        <w:t>卫生健康支出</w:t>
      </w:r>
      <w:r>
        <w:rPr>
          <w:rFonts w:hint="eastAsia" w:eastAsia="仿宋_GB2312"/>
          <w:color w:val="323232"/>
          <w:kern w:val="0"/>
          <w:sz w:val="32"/>
          <w:szCs w:val="32"/>
          <w:lang w:val="en-US" w:eastAsia="zh-CN"/>
        </w:rPr>
        <w:t>1</w:t>
      </w:r>
      <w:r>
        <w:rPr>
          <w:rFonts w:hint="eastAsia" w:eastAsia="仿宋_GB2312"/>
          <w:color w:val="323232"/>
          <w:kern w:val="0"/>
          <w:sz w:val="32"/>
          <w:szCs w:val="32"/>
          <w:lang w:val="en-US" w:eastAsia="zh-CN"/>
        </w:rPr>
        <w:t>0.22万元，占</w:t>
      </w:r>
      <w:r>
        <w:rPr>
          <w:rFonts w:hint="eastAsia" w:eastAsia="仿宋_GB2312"/>
          <w:color w:val="323232"/>
          <w:kern w:val="0"/>
          <w:sz w:val="32"/>
          <w:szCs w:val="32"/>
          <w:lang w:val="en-US" w:eastAsia="zh-CN"/>
        </w:rPr>
        <w:t>2.41%；</w:t>
      </w:r>
      <w:r>
        <w:rPr>
          <w:rFonts w:hint="eastAsia" w:eastAsia="仿宋"/>
          <w:b/>
          <w:color w:val="000000"/>
          <w:sz w:val="32"/>
          <w:szCs w:val="32"/>
          <w:lang w:val="en-US" w:eastAsia="zh-CN"/>
        </w:rPr>
        <w:t>住房保障支出</w:t>
      </w:r>
      <w:r>
        <w:rPr>
          <w:rFonts w:hint="eastAsia" w:eastAsia="仿宋_GB2312"/>
          <w:color w:val="323232"/>
          <w:kern w:val="0"/>
          <w:sz w:val="32"/>
          <w:szCs w:val="32"/>
          <w:lang w:val="en-US" w:eastAsia="zh-CN"/>
        </w:rPr>
        <w:t xml:space="preserve"> 13.6万元，占</w:t>
      </w:r>
      <w:r>
        <w:rPr>
          <w:rFonts w:hint="eastAsia" w:eastAsia="仿宋_GB2312"/>
          <w:color w:val="323232"/>
          <w:kern w:val="0"/>
          <w:sz w:val="32"/>
          <w:szCs w:val="32"/>
          <w:lang w:val="en-US" w:eastAsia="zh-CN"/>
        </w:rPr>
        <w:t>3.21%。</w:t>
      </w:r>
    </w:p>
    <w:p>
      <w:pPr>
        <w:spacing w:line="580" w:lineRule="atLeast"/>
        <w:ind w:firstLine="643" w:firstLineChars="200"/>
        <w:outlineLvl w:val="2"/>
        <w:rPr>
          <w:rFonts w:eastAsia="仿宋"/>
          <w:b/>
          <w:color w:val="000000"/>
          <w:sz w:val="32"/>
          <w:szCs w:val="32"/>
        </w:rPr>
      </w:pPr>
      <w:bookmarkStart w:id="52" w:name="_Toc15377212"/>
      <w:r>
        <w:rPr>
          <w:rFonts w:eastAsia="仿宋"/>
          <w:b/>
          <w:color w:val="000000"/>
          <w:sz w:val="32"/>
          <w:szCs w:val="32"/>
        </w:rPr>
        <w:t>（三）一般公共预算财政拨款支出决算具体情况</w:t>
      </w:r>
      <w:bookmarkEnd w:id="52"/>
    </w:p>
    <w:p>
      <w:pPr>
        <w:spacing w:line="580" w:lineRule="atLeast"/>
        <w:ind w:firstLine="643" w:firstLineChars="200"/>
        <w:outlineLvl w:val="2"/>
        <w:rPr>
          <w:rFonts w:eastAsia="仿宋"/>
          <w:color w:val="FF0000"/>
          <w:sz w:val="32"/>
          <w:szCs w:val="32"/>
        </w:rPr>
      </w:pPr>
      <w:bookmarkStart w:id="53" w:name="_Toc15377213"/>
      <w:bookmarkStart w:id="54" w:name="_Toc15378460"/>
      <w:bookmarkStart w:id="55" w:name="_Toc15377444"/>
      <w:r>
        <w:rPr>
          <w:rFonts w:eastAsia="仿宋"/>
          <w:b/>
          <w:color w:val="000000"/>
          <w:sz w:val="32"/>
          <w:szCs w:val="32"/>
        </w:rPr>
        <w:t>2020年一般公共预算支出决算数为</w:t>
      </w:r>
      <w:r>
        <w:rPr>
          <w:rFonts w:hint="eastAsia" w:eastAsia="仿宋"/>
          <w:b/>
          <w:color w:val="000000"/>
          <w:sz w:val="32"/>
          <w:szCs w:val="32"/>
          <w:lang w:val="en-US" w:eastAsia="zh-CN"/>
        </w:rPr>
        <w:t>423.2</w:t>
      </w:r>
      <w:r>
        <w:rPr>
          <w:rFonts w:eastAsia="仿宋"/>
          <w:b/>
          <w:color w:val="000000"/>
          <w:sz w:val="32"/>
          <w:szCs w:val="32"/>
        </w:rPr>
        <w:t>万元</w:t>
      </w:r>
      <w:r>
        <w:rPr>
          <w:rFonts w:eastAsia="仿宋"/>
          <w:color w:val="000000"/>
          <w:sz w:val="32"/>
          <w:szCs w:val="32"/>
        </w:rPr>
        <w:t>，</w:t>
      </w:r>
      <w:r>
        <w:rPr>
          <w:rStyle w:val="16"/>
          <w:rFonts w:eastAsia="仿宋"/>
          <w:bCs/>
          <w:color w:val="000000"/>
          <w:sz w:val="32"/>
          <w:szCs w:val="32"/>
        </w:rPr>
        <w:t>完成预算1</w:t>
      </w:r>
      <w:r>
        <w:rPr>
          <w:rStyle w:val="16"/>
          <w:rFonts w:hint="eastAsia" w:eastAsia="仿宋"/>
          <w:bCs/>
          <w:color w:val="000000"/>
          <w:sz w:val="32"/>
          <w:szCs w:val="32"/>
          <w:lang w:val="en-US" w:eastAsia="zh-CN"/>
        </w:rPr>
        <w:t>00</w:t>
      </w:r>
      <w:r>
        <w:rPr>
          <w:rStyle w:val="16"/>
          <w:rFonts w:eastAsia="仿宋"/>
          <w:bCs/>
          <w:color w:val="000000"/>
          <w:sz w:val="32"/>
          <w:szCs w:val="32"/>
        </w:rPr>
        <w:t>%。其中：</w:t>
      </w:r>
      <w:bookmarkEnd w:id="53"/>
      <w:bookmarkEnd w:id="54"/>
      <w:bookmarkEnd w:id="55"/>
    </w:p>
    <w:p>
      <w:pPr>
        <w:spacing w:line="580" w:lineRule="atLeast"/>
        <w:ind w:firstLine="643" w:firstLineChars="200"/>
        <w:rPr>
          <w:rFonts w:hint="eastAsia" w:eastAsia="仿宋_GB2312"/>
          <w:color w:val="323232"/>
          <w:kern w:val="0"/>
          <w:sz w:val="32"/>
          <w:szCs w:val="32"/>
          <w:lang w:eastAsia="zh-CN"/>
        </w:rPr>
      </w:pPr>
      <w:r>
        <w:rPr>
          <w:rStyle w:val="16"/>
          <w:rFonts w:eastAsia="仿宋"/>
          <w:bCs/>
          <w:color w:val="000000"/>
          <w:sz w:val="32"/>
          <w:szCs w:val="32"/>
        </w:rPr>
        <w:t>1.一般公共服务201（类）</w:t>
      </w:r>
      <w:r>
        <w:rPr>
          <w:rStyle w:val="16"/>
          <w:rFonts w:hint="eastAsia" w:eastAsia="仿宋"/>
          <w:bCs/>
          <w:color w:val="000000"/>
          <w:sz w:val="32"/>
          <w:szCs w:val="32"/>
          <w:lang w:val="en-US" w:eastAsia="zh-CN"/>
        </w:rPr>
        <w:t>99</w:t>
      </w:r>
      <w:r>
        <w:rPr>
          <w:rStyle w:val="16"/>
          <w:rFonts w:eastAsia="仿宋"/>
          <w:bCs/>
          <w:color w:val="000000"/>
          <w:sz w:val="32"/>
          <w:szCs w:val="32"/>
        </w:rPr>
        <w:t>（款）</w:t>
      </w:r>
      <w:r>
        <w:rPr>
          <w:rStyle w:val="16"/>
          <w:rFonts w:hint="eastAsia" w:eastAsia="仿宋"/>
          <w:bCs/>
          <w:color w:val="000000"/>
          <w:sz w:val="32"/>
          <w:szCs w:val="32"/>
          <w:lang w:val="en-US" w:eastAsia="zh-CN"/>
        </w:rPr>
        <w:t>99</w:t>
      </w:r>
      <w:r>
        <w:rPr>
          <w:rStyle w:val="16"/>
          <w:rFonts w:eastAsia="仿宋"/>
          <w:bCs/>
          <w:color w:val="000000"/>
          <w:sz w:val="32"/>
          <w:szCs w:val="32"/>
        </w:rPr>
        <w:t>（项）:</w:t>
      </w:r>
      <w:r>
        <w:rPr>
          <w:rStyle w:val="16"/>
          <w:rFonts w:eastAsia="仿宋"/>
          <w:b w:val="0"/>
          <w:bCs/>
          <w:color w:val="000000"/>
          <w:sz w:val="32"/>
          <w:szCs w:val="32"/>
        </w:rPr>
        <w:t xml:space="preserve"> </w:t>
      </w:r>
      <w:r>
        <w:rPr>
          <w:rFonts w:hint="eastAsia" w:eastAsia="仿宋_GB2312"/>
          <w:color w:val="323232"/>
          <w:kern w:val="0"/>
          <w:sz w:val="32"/>
          <w:szCs w:val="32"/>
          <w:lang w:eastAsia="zh-CN"/>
        </w:rPr>
        <w:t>支出决算为3</w:t>
      </w:r>
      <w:r>
        <w:rPr>
          <w:rFonts w:hint="eastAsia" w:eastAsia="仿宋_GB2312"/>
          <w:color w:val="323232"/>
          <w:kern w:val="0"/>
          <w:sz w:val="32"/>
          <w:szCs w:val="32"/>
          <w:lang w:val="en-US" w:eastAsia="zh-CN"/>
        </w:rPr>
        <w:t>81.24</w:t>
      </w:r>
      <w:r>
        <w:rPr>
          <w:rFonts w:hint="eastAsia" w:eastAsia="仿宋_GB2312"/>
          <w:color w:val="323232"/>
          <w:kern w:val="0"/>
          <w:sz w:val="32"/>
          <w:szCs w:val="32"/>
          <w:lang w:eastAsia="zh-CN"/>
        </w:rPr>
        <w:t>万元，完成预算</w:t>
      </w:r>
      <w:r>
        <w:rPr>
          <w:rFonts w:hint="eastAsia" w:eastAsia="仿宋_GB2312"/>
          <w:color w:val="323232"/>
          <w:kern w:val="0"/>
          <w:sz w:val="32"/>
          <w:szCs w:val="32"/>
          <w:lang w:val="en-US" w:eastAsia="zh-CN"/>
        </w:rPr>
        <w:t>100</w:t>
      </w:r>
      <w:r>
        <w:rPr>
          <w:rFonts w:hint="eastAsia" w:eastAsia="仿宋_GB2312"/>
          <w:color w:val="323232"/>
          <w:kern w:val="0"/>
          <w:sz w:val="32"/>
          <w:szCs w:val="32"/>
          <w:lang w:eastAsia="zh-CN"/>
        </w:rPr>
        <w:t xml:space="preserve"> %。</w:t>
      </w:r>
    </w:p>
    <w:p>
      <w:pPr>
        <w:spacing w:line="580" w:lineRule="atLeast"/>
        <w:ind w:firstLine="640" w:firstLineChars="200"/>
        <w:rPr>
          <w:rFonts w:eastAsia="仿宋_GB2312"/>
          <w:color w:val="323232"/>
          <w:kern w:val="0"/>
          <w:sz w:val="32"/>
          <w:szCs w:val="32"/>
        </w:rPr>
      </w:pPr>
      <w:r>
        <w:rPr>
          <w:rStyle w:val="16"/>
          <w:rFonts w:hint="eastAsia" w:eastAsia="仿宋"/>
          <w:b w:val="0"/>
          <w:bCs/>
          <w:color w:val="000000"/>
          <w:sz w:val="32"/>
          <w:szCs w:val="32"/>
          <w:lang w:val="en-US" w:eastAsia="zh-CN"/>
        </w:rPr>
        <w:t>2</w:t>
      </w:r>
      <w:r>
        <w:rPr>
          <w:rStyle w:val="16"/>
          <w:rFonts w:eastAsia="仿宋"/>
          <w:b w:val="0"/>
          <w:bCs/>
          <w:color w:val="000000"/>
          <w:sz w:val="32"/>
          <w:szCs w:val="32"/>
        </w:rPr>
        <w:t>.</w:t>
      </w:r>
      <w:r>
        <w:rPr>
          <w:rStyle w:val="16"/>
          <w:rFonts w:eastAsia="仿宋"/>
          <w:bCs/>
          <w:color w:val="000000"/>
          <w:sz w:val="32"/>
          <w:szCs w:val="32"/>
        </w:rPr>
        <w:t>社会保障和就业208（类）05（款）05（项）:</w:t>
      </w:r>
      <w:r>
        <w:rPr>
          <w:rStyle w:val="16"/>
          <w:rFonts w:eastAsia="仿宋"/>
          <w:b w:val="0"/>
          <w:bCs/>
          <w:color w:val="000000"/>
          <w:sz w:val="32"/>
          <w:szCs w:val="32"/>
        </w:rPr>
        <w:t xml:space="preserve"> </w:t>
      </w:r>
      <w:r>
        <w:rPr>
          <w:rFonts w:eastAsia="仿宋_GB2312"/>
          <w:color w:val="323232"/>
          <w:kern w:val="0"/>
          <w:sz w:val="32"/>
          <w:szCs w:val="32"/>
        </w:rPr>
        <w:t>支出决算为</w:t>
      </w:r>
      <w:r>
        <w:rPr>
          <w:rFonts w:hint="eastAsia" w:eastAsia="仿宋_GB2312"/>
          <w:color w:val="323232"/>
          <w:kern w:val="0"/>
          <w:sz w:val="32"/>
          <w:szCs w:val="32"/>
          <w:lang w:val="en-US" w:eastAsia="zh-CN"/>
        </w:rPr>
        <w:t>18.14</w:t>
      </w:r>
      <w:r>
        <w:rPr>
          <w:rFonts w:eastAsia="仿宋_GB2312"/>
          <w:color w:val="323232"/>
          <w:kern w:val="0"/>
          <w:sz w:val="32"/>
          <w:szCs w:val="32"/>
        </w:rPr>
        <w:t>万元，完成预算</w:t>
      </w:r>
      <w:r>
        <w:rPr>
          <w:rFonts w:hint="eastAsia" w:eastAsia="仿宋_GB2312"/>
          <w:color w:val="323232"/>
          <w:kern w:val="0"/>
          <w:sz w:val="32"/>
          <w:szCs w:val="32"/>
          <w:lang w:val="en-US" w:eastAsia="zh-CN"/>
        </w:rPr>
        <w:t>100</w:t>
      </w:r>
      <w:r>
        <w:rPr>
          <w:rFonts w:eastAsia="仿宋_GB2312"/>
          <w:color w:val="323232"/>
          <w:kern w:val="0"/>
          <w:sz w:val="32"/>
          <w:szCs w:val="32"/>
        </w:rPr>
        <w:t>%。</w:t>
      </w:r>
    </w:p>
    <w:p>
      <w:pPr>
        <w:spacing w:line="580" w:lineRule="atLeast"/>
        <w:ind w:firstLine="643" w:firstLineChars="200"/>
        <w:rPr>
          <w:rFonts w:eastAsia="仿宋_GB2312"/>
          <w:color w:val="323232"/>
          <w:kern w:val="0"/>
          <w:sz w:val="32"/>
          <w:szCs w:val="32"/>
        </w:rPr>
      </w:pPr>
      <w:r>
        <w:rPr>
          <w:rStyle w:val="16"/>
          <w:rFonts w:hint="eastAsia" w:eastAsia="仿宋"/>
          <w:bCs/>
          <w:color w:val="000000"/>
          <w:sz w:val="32"/>
          <w:szCs w:val="32"/>
          <w:lang w:val="en-US" w:eastAsia="zh-CN"/>
        </w:rPr>
        <w:t>3</w:t>
      </w:r>
      <w:r>
        <w:rPr>
          <w:rStyle w:val="16"/>
          <w:rFonts w:eastAsia="仿宋"/>
          <w:bCs/>
          <w:color w:val="000000"/>
          <w:sz w:val="32"/>
          <w:szCs w:val="32"/>
        </w:rPr>
        <w:t>.</w:t>
      </w:r>
      <w:r>
        <w:rPr>
          <w:rFonts w:eastAsia="仿宋"/>
          <w:b/>
          <w:bCs/>
          <w:color w:val="000000"/>
          <w:sz w:val="32"/>
          <w:szCs w:val="32"/>
        </w:rPr>
        <w:t>卫生健康210</w:t>
      </w:r>
      <w:r>
        <w:rPr>
          <w:rStyle w:val="16"/>
          <w:rFonts w:eastAsia="仿宋"/>
          <w:bCs/>
          <w:color w:val="000000"/>
          <w:sz w:val="32"/>
          <w:szCs w:val="32"/>
        </w:rPr>
        <w:t>（类）11（款）02（项）:</w:t>
      </w:r>
      <w:r>
        <w:rPr>
          <w:rFonts w:eastAsia="仿宋_GB2312"/>
          <w:color w:val="323232"/>
          <w:kern w:val="0"/>
          <w:sz w:val="32"/>
          <w:szCs w:val="32"/>
        </w:rPr>
        <w:t>支出决算为1</w:t>
      </w:r>
      <w:r>
        <w:rPr>
          <w:rFonts w:hint="eastAsia" w:eastAsia="仿宋_GB2312"/>
          <w:color w:val="323232"/>
          <w:kern w:val="0"/>
          <w:sz w:val="32"/>
          <w:szCs w:val="32"/>
          <w:lang w:val="en-US" w:eastAsia="zh-CN"/>
        </w:rPr>
        <w:t>0.22</w:t>
      </w:r>
      <w:r>
        <w:rPr>
          <w:rFonts w:eastAsia="仿宋_GB2312"/>
          <w:color w:val="323232"/>
          <w:kern w:val="0"/>
          <w:sz w:val="32"/>
          <w:szCs w:val="32"/>
        </w:rPr>
        <w:t>万元，完成预算</w:t>
      </w:r>
      <w:r>
        <w:rPr>
          <w:rFonts w:hint="eastAsia" w:eastAsia="仿宋_GB2312"/>
          <w:color w:val="323232"/>
          <w:kern w:val="0"/>
          <w:sz w:val="32"/>
          <w:szCs w:val="32"/>
          <w:lang w:val="en-US" w:eastAsia="zh-CN"/>
        </w:rPr>
        <w:t>100</w:t>
      </w:r>
      <w:r>
        <w:rPr>
          <w:rFonts w:eastAsia="仿宋_GB2312"/>
          <w:color w:val="323232"/>
          <w:kern w:val="0"/>
          <w:sz w:val="32"/>
          <w:szCs w:val="32"/>
        </w:rPr>
        <w:t>%。</w:t>
      </w:r>
    </w:p>
    <w:p>
      <w:pPr>
        <w:spacing w:line="580" w:lineRule="atLeast"/>
        <w:ind w:firstLine="643" w:firstLineChars="200"/>
        <w:rPr>
          <w:rFonts w:eastAsia="仿宋_GB2312"/>
          <w:color w:val="323232"/>
          <w:kern w:val="0"/>
          <w:sz w:val="32"/>
          <w:szCs w:val="32"/>
        </w:rPr>
      </w:pPr>
      <w:r>
        <w:rPr>
          <w:rStyle w:val="16"/>
          <w:rFonts w:hint="eastAsia" w:eastAsia="仿宋"/>
          <w:bCs/>
          <w:color w:val="000000"/>
          <w:sz w:val="32"/>
          <w:szCs w:val="32"/>
          <w:lang w:val="en-US" w:eastAsia="zh-CN"/>
        </w:rPr>
        <w:t>4</w:t>
      </w:r>
      <w:r>
        <w:rPr>
          <w:rStyle w:val="16"/>
          <w:rFonts w:eastAsia="仿宋"/>
          <w:bCs/>
          <w:color w:val="000000"/>
          <w:sz w:val="32"/>
          <w:szCs w:val="32"/>
        </w:rPr>
        <w:t>.</w:t>
      </w:r>
      <w:r>
        <w:rPr>
          <w:rFonts w:eastAsia="仿宋"/>
          <w:b/>
          <w:bCs/>
          <w:color w:val="000000"/>
          <w:sz w:val="32"/>
          <w:szCs w:val="32"/>
        </w:rPr>
        <w:t>住房保障221</w:t>
      </w:r>
      <w:r>
        <w:rPr>
          <w:rStyle w:val="16"/>
          <w:rFonts w:eastAsia="仿宋"/>
          <w:bCs/>
          <w:color w:val="000000"/>
          <w:sz w:val="32"/>
          <w:szCs w:val="32"/>
        </w:rPr>
        <w:t>（类）02（款）01（项）:</w:t>
      </w:r>
      <w:r>
        <w:rPr>
          <w:rFonts w:eastAsia="仿宋_GB2312"/>
          <w:color w:val="323232"/>
          <w:kern w:val="0"/>
          <w:sz w:val="32"/>
          <w:szCs w:val="32"/>
        </w:rPr>
        <w:t>支出决算为</w:t>
      </w:r>
      <w:r>
        <w:rPr>
          <w:rFonts w:hint="eastAsia" w:eastAsia="仿宋_GB2312"/>
          <w:color w:val="323232"/>
          <w:kern w:val="0"/>
          <w:sz w:val="32"/>
          <w:szCs w:val="32"/>
          <w:lang w:val="en-US" w:eastAsia="zh-CN"/>
        </w:rPr>
        <w:t>13.6</w:t>
      </w:r>
      <w:r>
        <w:rPr>
          <w:rFonts w:eastAsia="仿宋_GB2312"/>
          <w:color w:val="323232"/>
          <w:kern w:val="0"/>
          <w:sz w:val="32"/>
          <w:szCs w:val="32"/>
        </w:rPr>
        <w:t>万元，完成预算</w:t>
      </w:r>
      <w:r>
        <w:rPr>
          <w:rFonts w:hint="eastAsia" w:eastAsia="仿宋_GB2312"/>
          <w:color w:val="323232"/>
          <w:kern w:val="0"/>
          <w:sz w:val="32"/>
          <w:szCs w:val="32"/>
          <w:lang w:val="en-US" w:eastAsia="zh-CN"/>
        </w:rPr>
        <w:t>100</w:t>
      </w:r>
      <w:r>
        <w:rPr>
          <w:rFonts w:eastAsia="仿宋_GB2312"/>
          <w:color w:val="323232"/>
          <w:kern w:val="0"/>
          <w:sz w:val="32"/>
          <w:szCs w:val="32"/>
        </w:rPr>
        <w:t>%。</w:t>
      </w:r>
    </w:p>
    <w:p>
      <w:pPr>
        <w:tabs>
          <w:tab w:val="right" w:pos="8306"/>
        </w:tabs>
        <w:spacing w:line="580" w:lineRule="atLeast"/>
        <w:ind w:firstLine="640"/>
        <w:outlineLvl w:val="1"/>
        <w:rPr>
          <w:rStyle w:val="40"/>
          <w:rFonts w:ascii="Times New Roman" w:hAnsi="Times New Roman"/>
        </w:rPr>
      </w:pPr>
      <w:bookmarkStart w:id="56" w:name="_Toc15377214"/>
      <w:bookmarkStart w:id="57" w:name="_Toc15396608"/>
      <w:bookmarkStart w:id="58" w:name="_Toc18686"/>
      <w:r>
        <w:rPr>
          <w:rFonts w:eastAsia="黑体"/>
          <w:color w:val="000000"/>
          <w:sz w:val="32"/>
          <w:szCs w:val="32"/>
        </w:rPr>
        <w:t>六</w:t>
      </w:r>
      <w:r>
        <w:rPr>
          <w:rFonts w:eastAsia="黑体"/>
          <w:b/>
          <w:color w:val="000000"/>
          <w:sz w:val="32"/>
          <w:szCs w:val="32"/>
        </w:rPr>
        <w:t>、一</w:t>
      </w:r>
      <w:r>
        <w:rPr>
          <w:rStyle w:val="40"/>
          <w:rFonts w:ascii="Times New Roman" w:hAnsi="Times New Roman" w:eastAsia="黑体"/>
          <w:b w:val="0"/>
        </w:rPr>
        <w:t>般公共预算财政拨款基本支出决算情况说明</w:t>
      </w:r>
      <w:bookmarkEnd w:id="56"/>
      <w:bookmarkEnd w:id="57"/>
      <w:bookmarkEnd w:id="58"/>
      <w:r>
        <w:rPr>
          <w:rStyle w:val="40"/>
          <w:rFonts w:ascii="Times New Roman" w:hAnsi="Times New Roman" w:eastAsia="黑体"/>
          <w:b w:val="0"/>
        </w:rPr>
        <w:tab/>
      </w:r>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2020年一般公共预算财政拨款基本支出</w:t>
      </w:r>
      <w:r>
        <w:rPr>
          <w:rFonts w:hint="eastAsia" w:ascii="Times New Roman" w:hAnsi="Times New Roman" w:eastAsia="仿宋" w:cs="Times New Roman"/>
          <w:color w:val="000000"/>
          <w:sz w:val="32"/>
          <w:szCs w:val="32"/>
          <w:lang w:val="en-US" w:eastAsia="zh-CN"/>
        </w:rPr>
        <w:t>274.83</w:t>
      </w:r>
      <w:r>
        <w:rPr>
          <w:rFonts w:hint="eastAsia" w:ascii="Times New Roman" w:hAnsi="Times New Roman" w:eastAsia="仿宋" w:cs="Times New Roman"/>
          <w:color w:val="000000"/>
          <w:sz w:val="32"/>
          <w:szCs w:val="32"/>
          <w:lang w:eastAsia="zh-CN"/>
        </w:rPr>
        <w:t>万元，其中：</w:t>
      </w:r>
    </w:p>
    <w:p>
      <w:pPr>
        <w:ind w:firstLine="640"/>
        <w:contextualSpacing/>
        <w:rPr>
          <w:rFonts w:eastAsia="仿宋_GB2312"/>
          <w:color w:val="323232"/>
          <w:kern w:val="0"/>
          <w:sz w:val="32"/>
          <w:szCs w:val="32"/>
        </w:rPr>
      </w:pPr>
      <w:r>
        <w:rPr>
          <w:rFonts w:hint="eastAsia" w:ascii="Times New Roman" w:hAnsi="Times New Roman" w:eastAsia="仿宋" w:cs="Times New Roman"/>
          <w:color w:val="000000"/>
          <w:sz w:val="32"/>
          <w:szCs w:val="32"/>
          <w:lang w:eastAsia="zh-CN"/>
        </w:rPr>
        <w:t>人员经费2</w:t>
      </w:r>
      <w:r>
        <w:rPr>
          <w:rFonts w:hint="eastAsia" w:ascii="Times New Roman" w:hAnsi="Times New Roman" w:eastAsia="仿宋" w:cs="Times New Roman"/>
          <w:color w:val="000000"/>
          <w:sz w:val="32"/>
          <w:szCs w:val="32"/>
          <w:lang w:val="en-US" w:eastAsia="zh-CN"/>
        </w:rPr>
        <w:t>55.99</w:t>
      </w:r>
      <w:r>
        <w:rPr>
          <w:rFonts w:hint="eastAsia" w:ascii="Times New Roman" w:hAnsi="Times New Roman" w:eastAsia="仿宋" w:cs="Times New Roman"/>
          <w:color w:val="000000"/>
          <w:sz w:val="32"/>
          <w:szCs w:val="32"/>
          <w:lang w:eastAsia="zh-CN"/>
        </w:rPr>
        <w:t>万元，主要包括：包括：基本工资、绩效工资、机关事业单位基本养老保险缴费、职工基本医疗保险缴费、其他社会保障缴费、住房公积金、对个人和家庭的补助。　</w:t>
      </w:r>
      <w:r>
        <w:rPr>
          <w:rFonts w:eastAsia="仿宋_GB2312"/>
          <w:color w:val="323232"/>
          <w:kern w:val="0"/>
          <w:sz w:val="32"/>
          <w:szCs w:val="32"/>
        </w:rPr>
        <w:t>　</w:t>
      </w:r>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日常公用经费</w:t>
      </w:r>
      <w:r>
        <w:rPr>
          <w:rFonts w:hint="eastAsia" w:ascii="Times New Roman" w:hAnsi="Times New Roman" w:eastAsia="仿宋" w:cs="Times New Roman"/>
          <w:color w:val="000000"/>
          <w:sz w:val="32"/>
          <w:szCs w:val="32"/>
          <w:lang w:val="en-US" w:eastAsia="zh-CN"/>
        </w:rPr>
        <w:t>18.84</w:t>
      </w:r>
      <w:r>
        <w:rPr>
          <w:rFonts w:hint="eastAsia" w:ascii="Times New Roman" w:hAnsi="Times New Roman" w:eastAsia="仿宋" w:cs="Times New Roman"/>
          <w:color w:val="000000"/>
          <w:sz w:val="32"/>
          <w:szCs w:val="32"/>
          <w:lang w:eastAsia="zh-CN"/>
        </w:rPr>
        <w:t>万元，包括：办公费、印刷费、手续费、邮电费、差旅费、维修（护）费、培训费、公务接待费、劳务费、工会经费、福利费、公务用车运行维护费。</w:t>
      </w:r>
    </w:p>
    <w:p>
      <w:pPr>
        <w:spacing w:line="580" w:lineRule="atLeast"/>
        <w:ind w:firstLine="640"/>
        <w:outlineLvl w:val="1"/>
        <w:rPr>
          <w:rStyle w:val="40"/>
          <w:rFonts w:ascii="Times New Roman" w:hAnsi="Times New Roman" w:eastAsia="黑体"/>
          <w:b w:val="0"/>
        </w:rPr>
      </w:pPr>
      <w:bookmarkStart w:id="59" w:name="_Toc15377215"/>
      <w:bookmarkStart w:id="60" w:name="_Toc15396609"/>
      <w:bookmarkStart w:id="61" w:name="_Toc9472"/>
      <w:r>
        <w:rPr>
          <w:rFonts w:eastAsia="黑体"/>
          <w:color w:val="000000"/>
          <w:sz w:val="32"/>
          <w:szCs w:val="32"/>
        </w:rPr>
        <w:t>七、</w:t>
      </w:r>
      <w:r>
        <w:rPr>
          <w:rStyle w:val="40"/>
          <w:rFonts w:ascii="Times New Roman" w:hAnsi="Times New Roman" w:eastAsia="黑体"/>
        </w:rPr>
        <w:t>“</w:t>
      </w:r>
      <w:r>
        <w:rPr>
          <w:rStyle w:val="40"/>
          <w:rFonts w:ascii="Times New Roman" w:hAnsi="Times New Roman" w:eastAsia="黑体"/>
          <w:b w:val="0"/>
        </w:rPr>
        <w:t>三公”经费财政拨款支出决算情况说明</w:t>
      </w:r>
      <w:bookmarkEnd w:id="59"/>
      <w:bookmarkEnd w:id="60"/>
      <w:bookmarkEnd w:id="61"/>
    </w:p>
    <w:p>
      <w:pPr>
        <w:spacing w:line="580" w:lineRule="atLeast"/>
        <w:ind w:firstLine="640"/>
        <w:outlineLvl w:val="2"/>
        <w:rPr>
          <w:rFonts w:eastAsia="仿宋"/>
          <w:b/>
          <w:color w:val="000000"/>
          <w:sz w:val="32"/>
          <w:szCs w:val="32"/>
        </w:rPr>
      </w:pPr>
      <w:bookmarkStart w:id="62" w:name="_Toc15377216"/>
      <w:r>
        <w:rPr>
          <w:rFonts w:eastAsia="仿宋"/>
          <w:b/>
          <w:color w:val="000000"/>
          <w:sz w:val="32"/>
          <w:szCs w:val="32"/>
        </w:rPr>
        <w:t>（一）“三公”经费财政拨款支出决算总体情况说明</w:t>
      </w:r>
      <w:bookmarkEnd w:id="62"/>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2020年“三公”经费财政拨款支出决算为</w:t>
      </w:r>
      <w:r>
        <w:rPr>
          <w:rFonts w:hint="eastAsia" w:ascii="Times New Roman" w:hAnsi="Times New Roman" w:eastAsia="仿宋" w:cs="Times New Roman"/>
          <w:color w:val="000000"/>
          <w:sz w:val="32"/>
          <w:szCs w:val="32"/>
          <w:lang w:val="en-US" w:eastAsia="zh-CN"/>
        </w:rPr>
        <w:t>3.8</w:t>
      </w:r>
      <w:r>
        <w:rPr>
          <w:rFonts w:hint="eastAsia" w:ascii="Times New Roman" w:hAnsi="Times New Roman" w:eastAsia="仿宋" w:cs="Times New Roman"/>
          <w:color w:val="000000"/>
          <w:sz w:val="32"/>
          <w:szCs w:val="32"/>
          <w:lang w:eastAsia="zh-CN"/>
        </w:rPr>
        <w:t>万元，完成预算</w:t>
      </w:r>
      <w:r>
        <w:rPr>
          <w:rFonts w:hint="eastAsia" w:ascii="Times New Roman" w:hAnsi="Times New Roman" w:eastAsia="仿宋" w:cs="Times New Roman"/>
          <w:color w:val="000000"/>
          <w:sz w:val="32"/>
          <w:szCs w:val="32"/>
          <w:lang w:val="en-US" w:eastAsia="zh-CN"/>
        </w:rPr>
        <w:t>96.2</w:t>
      </w:r>
      <w:r>
        <w:rPr>
          <w:rFonts w:hint="eastAsia" w:ascii="Times New Roman" w:hAnsi="Times New Roman" w:eastAsia="仿宋" w:cs="Times New Roman"/>
          <w:color w:val="000000"/>
          <w:sz w:val="32"/>
          <w:szCs w:val="32"/>
          <w:lang w:eastAsia="zh-CN"/>
        </w:rPr>
        <w:t>%，决算数小于预算数的主要原因是公务接待减少。</w:t>
      </w:r>
    </w:p>
    <w:p>
      <w:pPr>
        <w:spacing w:line="580" w:lineRule="atLeast"/>
        <w:ind w:firstLine="640"/>
        <w:outlineLvl w:val="2"/>
        <w:rPr>
          <w:rFonts w:eastAsia="仿宋"/>
          <w:b/>
          <w:color w:val="000000"/>
          <w:sz w:val="32"/>
          <w:szCs w:val="32"/>
        </w:rPr>
      </w:pPr>
      <w:bookmarkStart w:id="63" w:name="_Toc15377217"/>
      <w:r>
        <w:rPr>
          <w:rFonts w:eastAsia="仿宋"/>
          <w:b/>
          <w:color w:val="000000"/>
          <w:sz w:val="32"/>
          <w:szCs w:val="32"/>
        </w:rPr>
        <w:t>（二）“三公”经费财政拨款支出决算具体情况说明</w:t>
      </w:r>
      <w:bookmarkEnd w:id="63"/>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2020年“三公”经费财政拨款支出决算中，因公出国（境）费支出决算0万元，占</w:t>
      </w:r>
      <w:r>
        <w:rPr>
          <w:rFonts w:hint="eastAsia" w:ascii="Times New Roman" w:hAnsi="Times New Roman" w:eastAsia="仿宋" w:cs="Times New Roman"/>
          <w:color w:val="000000"/>
          <w:sz w:val="32"/>
          <w:szCs w:val="32"/>
          <w:lang w:val="en-US" w:eastAsia="zh-CN"/>
        </w:rPr>
        <w:t>0</w:t>
      </w:r>
      <w:r>
        <w:rPr>
          <w:rFonts w:hint="eastAsia" w:ascii="Times New Roman" w:hAnsi="Times New Roman" w:eastAsia="仿宋" w:cs="Times New Roman"/>
          <w:color w:val="000000"/>
          <w:sz w:val="32"/>
          <w:szCs w:val="32"/>
          <w:lang w:eastAsia="zh-CN"/>
        </w:rPr>
        <w:t>%；公务用车购置及运行维护费支出决算</w:t>
      </w:r>
      <w:r>
        <w:rPr>
          <w:rFonts w:hint="eastAsia" w:ascii="Times New Roman" w:hAnsi="Times New Roman" w:eastAsia="仿宋" w:cs="Times New Roman"/>
          <w:color w:val="000000"/>
          <w:sz w:val="32"/>
          <w:szCs w:val="32"/>
          <w:lang w:val="en-US" w:eastAsia="zh-CN"/>
        </w:rPr>
        <w:t>3</w:t>
      </w:r>
      <w:r>
        <w:rPr>
          <w:rFonts w:hint="eastAsia" w:ascii="Times New Roman" w:hAnsi="Times New Roman" w:eastAsia="仿宋" w:cs="Times New Roman"/>
          <w:color w:val="000000"/>
          <w:sz w:val="32"/>
          <w:szCs w:val="32"/>
          <w:lang w:eastAsia="zh-CN"/>
        </w:rPr>
        <w:t>万元，占</w:t>
      </w:r>
      <w:r>
        <w:rPr>
          <w:rFonts w:hint="eastAsia" w:ascii="Times New Roman" w:hAnsi="Times New Roman" w:eastAsia="仿宋" w:cs="Times New Roman"/>
          <w:color w:val="000000"/>
          <w:sz w:val="32"/>
          <w:szCs w:val="32"/>
          <w:lang w:val="en-US" w:eastAsia="zh-CN"/>
        </w:rPr>
        <w:t>78.95</w:t>
      </w:r>
      <w:r>
        <w:rPr>
          <w:rFonts w:hint="eastAsia" w:ascii="Times New Roman" w:hAnsi="Times New Roman" w:eastAsia="仿宋" w:cs="Times New Roman"/>
          <w:color w:val="000000"/>
          <w:sz w:val="32"/>
          <w:szCs w:val="32"/>
          <w:lang w:eastAsia="zh-CN"/>
        </w:rPr>
        <w:t>%；公务接待费支出决算</w:t>
      </w:r>
      <w:r>
        <w:rPr>
          <w:rFonts w:hint="eastAsia" w:ascii="Times New Roman" w:hAnsi="Times New Roman" w:eastAsia="仿宋" w:cs="Times New Roman"/>
          <w:color w:val="000000"/>
          <w:sz w:val="32"/>
          <w:szCs w:val="32"/>
          <w:lang w:val="en-US" w:eastAsia="zh-CN"/>
        </w:rPr>
        <w:t>0.8</w:t>
      </w:r>
      <w:r>
        <w:rPr>
          <w:rFonts w:hint="eastAsia" w:ascii="Times New Roman" w:hAnsi="Times New Roman" w:eastAsia="仿宋" w:cs="Times New Roman"/>
          <w:color w:val="000000"/>
          <w:sz w:val="32"/>
          <w:szCs w:val="32"/>
          <w:lang w:eastAsia="zh-CN"/>
        </w:rPr>
        <w:t>万元，占</w:t>
      </w:r>
      <w:r>
        <w:rPr>
          <w:rFonts w:hint="eastAsia" w:ascii="Times New Roman" w:hAnsi="Times New Roman" w:eastAsia="仿宋" w:cs="Times New Roman"/>
          <w:color w:val="000000"/>
          <w:sz w:val="32"/>
          <w:szCs w:val="32"/>
          <w:lang w:val="en-US" w:eastAsia="zh-CN"/>
        </w:rPr>
        <w:t>21.05</w:t>
      </w:r>
      <w:r>
        <w:rPr>
          <w:rFonts w:hint="eastAsia" w:ascii="Times New Roman" w:hAnsi="Times New Roman" w:eastAsia="仿宋" w:cs="Times New Roman"/>
          <w:color w:val="000000"/>
          <w:sz w:val="32"/>
          <w:szCs w:val="32"/>
          <w:lang w:eastAsia="zh-CN"/>
        </w:rPr>
        <w:t>%。</w:t>
      </w:r>
    </w:p>
    <w:p>
      <w:pPr>
        <w:spacing w:line="54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Times New Roman" w:hAnsi="Times New Roman" w:eastAsia="仿宋" w:cs="Times New Roman"/>
          <w:color w:val="000000"/>
          <w:sz w:val="32"/>
          <w:szCs w:val="32"/>
          <w:lang w:eastAsia="zh-CN"/>
        </w:rPr>
        <w:t>0万元，完成预算0%。全年安排因公出国（境）团组0次，出国（境）0人。因公出国（境）支出决算与2019年持平，均未发生支出。</w:t>
      </w:r>
    </w:p>
    <w:p>
      <w:pPr>
        <w:ind w:firstLine="640"/>
        <w:contextualSpacing/>
        <w:rPr>
          <w:rFonts w:hint="eastAsia" w:ascii="Times New Roman" w:hAnsi="Times New Roman" w:eastAsia="仿宋" w:cs="Times New Roman"/>
          <w:color w:val="000000"/>
          <w:sz w:val="32"/>
          <w:szCs w:val="32"/>
          <w:lang w:eastAsia="zh-CN"/>
        </w:rPr>
      </w:pPr>
      <w:r>
        <w:rPr>
          <w:rFonts w:hint="eastAsia" w:eastAsia="仿宋_GB2312"/>
          <w:b/>
          <w:color w:val="000000"/>
          <w:sz w:val="32"/>
          <w:szCs w:val="32"/>
          <w:lang w:val="en-US" w:eastAsia="zh-CN"/>
        </w:rPr>
        <w:t>2</w:t>
      </w:r>
      <w:r>
        <w:rPr>
          <w:rFonts w:eastAsia="仿宋_GB2312"/>
          <w:b/>
          <w:color w:val="000000"/>
          <w:sz w:val="32"/>
          <w:szCs w:val="32"/>
        </w:rPr>
        <w:t>.公务用车购置及运行维护费支出</w:t>
      </w:r>
      <w:r>
        <w:rPr>
          <w:rFonts w:hint="eastAsia" w:ascii="Times New Roman" w:hAnsi="Times New Roman" w:eastAsia="仿宋" w:cs="Times New Roman"/>
          <w:color w:val="000000"/>
          <w:sz w:val="32"/>
          <w:szCs w:val="32"/>
          <w:lang w:val="en-US" w:eastAsia="zh-CN"/>
        </w:rPr>
        <w:t>3</w:t>
      </w:r>
      <w:r>
        <w:rPr>
          <w:rFonts w:hint="eastAsia" w:ascii="Times New Roman" w:hAnsi="Times New Roman" w:eastAsia="仿宋" w:cs="Times New Roman"/>
          <w:color w:val="000000"/>
          <w:sz w:val="32"/>
          <w:szCs w:val="32"/>
          <w:lang w:eastAsia="zh-CN"/>
        </w:rPr>
        <w:t>万元,完成预算100%。公务用车购置及运行维护费支出决算与2019年持平。</w:t>
      </w:r>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其中：公务用车购置支出0万元。截至2020年12月底，单位其他用车1辆，其中：轿车1辆。</w:t>
      </w:r>
    </w:p>
    <w:p>
      <w:pPr>
        <w:spacing w:line="560" w:lineRule="exact"/>
        <w:ind w:firstLine="640"/>
        <w:rPr>
          <w:rFonts w:hint="eastAsia" w:ascii="Times New Roman" w:hAnsi="Times New Roman" w:eastAsia="仿宋" w:cs="Times New Roman"/>
          <w:color w:val="000000"/>
          <w:sz w:val="32"/>
          <w:szCs w:val="32"/>
          <w:lang w:eastAsia="zh-CN"/>
        </w:rPr>
      </w:pPr>
      <w:r>
        <w:rPr>
          <w:rFonts w:hint="eastAsia" w:ascii="仿宋_GB2312" w:eastAsia="仿宋_GB2312"/>
          <w:b/>
          <w:color w:val="000000"/>
          <w:sz w:val="32"/>
          <w:szCs w:val="32"/>
        </w:rPr>
        <w:t>公务用车运行维护费支出</w:t>
      </w:r>
      <w:r>
        <w:rPr>
          <w:rFonts w:hint="eastAsia" w:eastAsia="仿宋_GB2312"/>
          <w:b/>
          <w:bCs/>
          <w:color w:val="000000"/>
          <w:sz w:val="32"/>
          <w:szCs w:val="32"/>
          <w:lang w:val="en-US" w:eastAsia="zh-CN"/>
        </w:rPr>
        <w:t>3</w:t>
      </w:r>
      <w:r>
        <w:rPr>
          <w:rFonts w:hint="eastAsia" w:ascii="仿宋_GB2312" w:eastAsia="仿宋_GB2312"/>
          <w:color w:val="000000"/>
          <w:sz w:val="32"/>
          <w:szCs w:val="32"/>
        </w:rPr>
        <w:t>万元。</w:t>
      </w:r>
      <w:r>
        <w:rPr>
          <w:rFonts w:hint="eastAsia" w:ascii="Times New Roman" w:hAnsi="Times New Roman" w:eastAsia="仿宋" w:cs="Times New Roman"/>
          <w:color w:val="000000"/>
          <w:sz w:val="32"/>
          <w:szCs w:val="32"/>
          <w:lang w:eastAsia="zh-CN"/>
        </w:rPr>
        <w:t>主要用于全力保障交易项目顺利实施，以及指导、协调交易业务等工作所需的公务用车燃料费、维修费、过路过桥费、保险费等支出。</w:t>
      </w:r>
    </w:p>
    <w:p>
      <w:pPr>
        <w:spacing w:line="600" w:lineRule="exact"/>
        <w:ind w:firstLine="640"/>
        <w:rPr>
          <w:rFonts w:hint="eastAsia" w:ascii="Times New Roman" w:hAnsi="Times New Roman" w:eastAsia="仿宋" w:cs="Times New Roman"/>
          <w:color w:val="000000"/>
          <w:sz w:val="32"/>
          <w:szCs w:val="32"/>
          <w:lang w:eastAsia="zh-CN"/>
        </w:rPr>
      </w:pPr>
      <w:bookmarkStart w:id="64" w:name="_Toc15396610"/>
      <w:bookmarkStart w:id="65" w:name="_Toc15377218"/>
      <w:r>
        <w:rPr>
          <w:rFonts w:eastAsia="仿宋_GB2312"/>
          <w:b/>
          <w:color w:val="000000"/>
          <w:sz w:val="32"/>
          <w:szCs w:val="32"/>
        </w:rPr>
        <w:t>3</w:t>
      </w:r>
      <w:r>
        <w:rPr>
          <w:rFonts w:hint="eastAsia" w:eastAsia="仿宋_GB2312"/>
          <w:b/>
          <w:color w:val="000000"/>
          <w:sz w:val="32"/>
          <w:szCs w:val="32"/>
        </w:rPr>
        <w:t>.</w:t>
      </w:r>
      <w:r>
        <w:rPr>
          <w:rFonts w:eastAsia="仿宋_GB2312"/>
          <w:b/>
          <w:color w:val="000000"/>
          <w:sz w:val="32"/>
          <w:szCs w:val="32"/>
        </w:rPr>
        <w:t>公务接待费支出</w:t>
      </w:r>
      <w:r>
        <w:rPr>
          <w:rFonts w:eastAsia="仿宋_GB2312"/>
          <w:b/>
          <w:bCs/>
          <w:color w:val="000000"/>
          <w:sz w:val="32"/>
          <w:szCs w:val="32"/>
        </w:rPr>
        <w:t>0.</w:t>
      </w:r>
      <w:r>
        <w:rPr>
          <w:rFonts w:hint="eastAsia" w:eastAsia="仿宋_GB2312"/>
          <w:b/>
          <w:bCs/>
          <w:color w:val="000000"/>
          <w:sz w:val="32"/>
          <w:szCs w:val="32"/>
          <w:lang w:val="en-US" w:eastAsia="zh-CN"/>
        </w:rPr>
        <w:t>8</w:t>
      </w:r>
      <w:r>
        <w:rPr>
          <w:rFonts w:eastAsia="仿宋_GB2312"/>
          <w:b/>
          <w:bCs/>
          <w:color w:val="000000"/>
          <w:sz w:val="32"/>
          <w:szCs w:val="32"/>
        </w:rPr>
        <w:t>万元，</w:t>
      </w:r>
      <w:r>
        <w:rPr>
          <w:rStyle w:val="16"/>
          <w:rFonts w:eastAsia="仿宋"/>
          <w:bCs/>
          <w:color w:val="000000"/>
          <w:sz w:val="32"/>
          <w:szCs w:val="32"/>
        </w:rPr>
        <w:t>完成预算</w:t>
      </w:r>
      <w:r>
        <w:rPr>
          <w:rStyle w:val="16"/>
          <w:rFonts w:hint="eastAsia" w:eastAsia="仿宋"/>
          <w:bCs/>
          <w:color w:val="000000"/>
          <w:sz w:val="32"/>
          <w:szCs w:val="32"/>
          <w:lang w:val="en-US" w:eastAsia="zh-CN"/>
        </w:rPr>
        <w:t>84.2</w:t>
      </w:r>
      <w:r>
        <w:rPr>
          <w:rStyle w:val="16"/>
          <w:rFonts w:eastAsia="仿宋"/>
          <w:bCs/>
          <w:color w:val="000000"/>
          <w:sz w:val="32"/>
          <w:szCs w:val="32"/>
        </w:rPr>
        <w:t>%。</w:t>
      </w:r>
      <w:r>
        <w:rPr>
          <w:rFonts w:hint="eastAsia" w:ascii="Times New Roman" w:hAnsi="Times New Roman" w:eastAsia="仿宋" w:cs="Times New Roman"/>
          <w:color w:val="000000"/>
          <w:sz w:val="32"/>
          <w:szCs w:val="32"/>
          <w:lang w:eastAsia="zh-CN"/>
        </w:rPr>
        <w:t>公务接待费支出决算与2019年相比，减少</w:t>
      </w:r>
      <w:r>
        <w:rPr>
          <w:rFonts w:hint="eastAsia" w:ascii="Times New Roman" w:hAnsi="Times New Roman" w:eastAsia="仿宋" w:cs="Times New Roman"/>
          <w:color w:val="000000"/>
          <w:sz w:val="32"/>
          <w:szCs w:val="32"/>
          <w:lang w:val="en-US" w:eastAsia="zh-CN"/>
        </w:rPr>
        <w:t>0.15</w:t>
      </w:r>
      <w:r>
        <w:rPr>
          <w:rFonts w:hint="eastAsia" w:ascii="Times New Roman" w:hAnsi="Times New Roman" w:eastAsia="仿宋" w:cs="Times New Roman"/>
          <w:color w:val="000000"/>
          <w:sz w:val="32"/>
          <w:szCs w:val="32"/>
          <w:lang w:eastAsia="zh-CN"/>
        </w:rPr>
        <w:t>万元，减少</w:t>
      </w:r>
      <w:r>
        <w:rPr>
          <w:rFonts w:hint="eastAsia" w:ascii="Times New Roman" w:hAnsi="Times New Roman" w:eastAsia="仿宋" w:cs="Times New Roman"/>
          <w:color w:val="000000"/>
          <w:sz w:val="32"/>
          <w:szCs w:val="32"/>
          <w:lang w:val="en-US" w:eastAsia="zh-CN"/>
        </w:rPr>
        <w:t>15.79</w:t>
      </w:r>
      <w:r>
        <w:rPr>
          <w:rFonts w:hint="eastAsia" w:ascii="Times New Roman" w:hAnsi="Times New Roman" w:eastAsia="仿宋" w:cs="Times New Roman"/>
          <w:color w:val="000000"/>
          <w:sz w:val="32"/>
          <w:szCs w:val="32"/>
          <w:lang w:eastAsia="zh-CN"/>
        </w:rPr>
        <w:t>%。主要原因是我中心20</w:t>
      </w:r>
      <w:r>
        <w:rPr>
          <w:rFonts w:hint="eastAsia" w:ascii="Times New Roman" w:hAnsi="Times New Roman" w:eastAsia="仿宋" w:cs="Times New Roman"/>
          <w:color w:val="000000"/>
          <w:sz w:val="32"/>
          <w:szCs w:val="32"/>
          <w:lang w:val="en-US" w:eastAsia="zh-CN"/>
        </w:rPr>
        <w:t>20</w:t>
      </w:r>
      <w:r>
        <w:rPr>
          <w:rFonts w:hint="eastAsia" w:ascii="Times New Roman" w:hAnsi="Times New Roman" w:eastAsia="仿宋" w:cs="Times New Roman"/>
          <w:color w:val="000000"/>
          <w:sz w:val="32"/>
          <w:szCs w:val="32"/>
          <w:lang w:eastAsia="zh-CN"/>
        </w:rPr>
        <w:t>年积极贯彻落实中央八项规定精神，从严控制公务接待费。其中：国内公务接待支出</w:t>
      </w:r>
      <w:r>
        <w:rPr>
          <w:rFonts w:hint="eastAsia" w:ascii="Times New Roman" w:hAnsi="Times New Roman" w:eastAsia="仿宋" w:cs="Times New Roman"/>
          <w:color w:val="000000"/>
          <w:sz w:val="32"/>
          <w:szCs w:val="32"/>
          <w:lang w:val="en-US" w:eastAsia="zh-CN"/>
        </w:rPr>
        <w:t>0.8</w:t>
      </w:r>
      <w:r>
        <w:rPr>
          <w:rFonts w:hint="eastAsia" w:ascii="Times New Roman" w:hAnsi="Times New Roman" w:eastAsia="仿宋" w:cs="Times New Roman"/>
          <w:color w:val="000000"/>
          <w:sz w:val="32"/>
          <w:szCs w:val="32"/>
          <w:lang w:eastAsia="zh-CN"/>
        </w:rPr>
        <w:t>万元，主要用于接待来省市县区公共资源交易中心考察调研、学习及交流人员的用餐费。国内公务接待11批次，</w:t>
      </w:r>
      <w:r>
        <w:rPr>
          <w:rFonts w:hint="eastAsia" w:ascii="Times New Roman" w:hAnsi="Times New Roman" w:eastAsia="仿宋" w:cs="Times New Roman"/>
          <w:color w:val="000000"/>
          <w:sz w:val="32"/>
          <w:szCs w:val="32"/>
          <w:lang w:val="en-US" w:eastAsia="zh-CN"/>
        </w:rPr>
        <w:t>72</w:t>
      </w:r>
      <w:r>
        <w:rPr>
          <w:rFonts w:hint="eastAsia" w:ascii="Times New Roman" w:hAnsi="Times New Roman" w:eastAsia="仿宋" w:cs="Times New Roman"/>
          <w:color w:val="000000"/>
          <w:sz w:val="32"/>
          <w:szCs w:val="32"/>
          <w:lang w:eastAsia="zh-CN"/>
        </w:rPr>
        <w:t>人次，共计支出</w:t>
      </w:r>
      <w:r>
        <w:rPr>
          <w:rFonts w:hint="eastAsia" w:ascii="Times New Roman" w:hAnsi="Times New Roman" w:eastAsia="仿宋" w:cs="Times New Roman"/>
          <w:color w:val="000000"/>
          <w:sz w:val="32"/>
          <w:szCs w:val="32"/>
          <w:lang w:val="en-US" w:eastAsia="zh-CN"/>
        </w:rPr>
        <w:t>0.8</w:t>
      </w:r>
      <w:r>
        <w:rPr>
          <w:rFonts w:hint="eastAsia" w:ascii="Times New Roman" w:hAnsi="Times New Roman" w:eastAsia="仿宋" w:cs="Times New Roman"/>
          <w:color w:val="000000"/>
          <w:sz w:val="32"/>
          <w:szCs w:val="32"/>
          <w:lang w:eastAsia="zh-CN"/>
        </w:rPr>
        <w:t>万元，具体内容包括：接待省、市、县区公共资源交易中心考察调研、学习及交流用餐。</w:t>
      </w:r>
    </w:p>
    <w:p>
      <w:pPr>
        <w:ind w:firstLine="640"/>
        <w:contextualSpacing/>
        <w:rPr>
          <w:rFonts w:hint="eastAsia" w:ascii="Times New Roman" w:hAnsi="Times New Roman" w:eastAsia="仿宋" w:cs="Times New Roman"/>
          <w:color w:val="000000"/>
          <w:sz w:val="32"/>
          <w:szCs w:val="32"/>
          <w:lang w:eastAsia="zh-CN"/>
        </w:rPr>
      </w:pPr>
      <w:r>
        <w:rPr>
          <w:rFonts w:hint="eastAsia" w:ascii="仿宋" w:hAnsi="仿宋" w:eastAsia="仿宋" w:cs="仿宋"/>
          <w:b/>
          <w:bCs/>
          <w:color w:val="000000"/>
          <w:kern w:val="0"/>
          <w:sz w:val="31"/>
          <w:szCs w:val="31"/>
          <w:lang w:val="en-US" w:eastAsia="zh-CN" w:bidi="ar"/>
        </w:rPr>
        <w:t>外事接待支出</w:t>
      </w:r>
      <w:r>
        <w:rPr>
          <w:rFonts w:hint="eastAsia" w:ascii="仿宋" w:hAnsi="仿宋" w:eastAsia="仿宋" w:cs="仿宋"/>
          <w:color w:val="000000"/>
          <w:kern w:val="0"/>
          <w:sz w:val="31"/>
          <w:szCs w:val="31"/>
          <w:lang w:val="en-US" w:eastAsia="zh-CN" w:bidi="ar"/>
        </w:rPr>
        <w:t xml:space="preserve"> </w:t>
      </w:r>
      <w:r>
        <w:rPr>
          <w:rFonts w:hint="eastAsia" w:ascii="Times New Roman" w:hAnsi="Times New Roman" w:eastAsia="仿宋" w:cs="Times New Roman"/>
          <w:color w:val="000000"/>
          <w:sz w:val="32"/>
          <w:szCs w:val="32"/>
          <w:lang w:val="en-US" w:eastAsia="zh-CN"/>
        </w:rPr>
        <w:t xml:space="preserve">0 万元，外事接待 0 批次，0 人，共计支出 0 万元。 </w:t>
      </w:r>
    </w:p>
    <w:p>
      <w:pPr>
        <w:spacing w:line="580" w:lineRule="atLeast"/>
        <w:ind w:firstLine="640"/>
        <w:outlineLvl w:val="1"/>
        <w:rPr>
          <w:rStyle w:val="40"/>
          <w:rFonts w:ascii="Times New Roman" w:hAnsi="Times New Roman" w:eastAsia="黑体"/>
        </w:rPr>
      </w:pPr>
      <w:bookmarkStart w:id="66" w:name="_Toc14748"/>
      <w:r>
        <w:rPr>
          <w:rFonts w:eastAsia="黑体"/>
          <w:color w:val="000000"/>
          <w:sz w:val="32"/>
          <w:szCs w:val="32"/>
        </w:rPr>
        <w:t>八、</w:t>
      </w:r>
      <w:r>
        <w:rPr>
          <w:rStyle w:val="40"/>
          <w:rFonts w:ascii="Times New Roman" w:hAnsi="Times New Roman" w:eastAsia="黑体"/>
          <w:b w:val="0"/>
        </w:rPr>
        <w:t>政府性基金预算支出决算情况说明</w:t>
      </w:r>
      <w:bookmarkEnd w:id="64"/>
      <w:bookmarkEnd w:id="65"/>
      <w:bookmarkEnd w:id="66"/>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2020年政府性基金预算拨款支出0万元。</w:t>
      </w:r>
    </w:p>
    <w:p>
      <w:pPr>
        <w:numPr>
          <w:ilvl w:val="0"/>
          <w:numId w:val="1"/>
        </w:numPr>
        <w:spacing w:line="580" w:lineRule="atLeast"/>
        <w:ind w:firstLine="640"/>
        <w:outlineLvl w:val="1"/>
        <w:rPr>
          <w:rStyle w:val="40"/>
          <w:rFonts w:ascii="Times New Roman" w:hAnsi="Times New Roman" w:eastAsia="黑体"/>
          <w:b w:val="0"/>
        </w:rPr>
      </w:pPr>
      <w:bookmarkStart w:id="67" w:name="_Toc15377219"/>
      <w:bookmarkStart w:id="68" w:name="_Toc17934"/>
      <w:bookmarkStart w:id="69" w:name="_Toc15396611"/>
      <w:r>
        <w:rPr>
          <w:rStyle w:val="40"/>
          <w:rFonts w:ascii="Times New Roman" w:hAnsi="Times New Roman" w:eastAsia="黑体"/>
          <w:b w:val="0"/>
        </w:rPr>
        <w:t>国有资本经营预算支出决算情况说明</w:t>
      </w:r>
      <w:bookmarkEnd w:id="67"/>
      <w:bookmarkEnd w:id="68"/>
      <w:bookmarkEnd w:id="69"/>
    </w:p>
    <w:p>
      <w:pPr>
        <w:ind w:firstLine="640"/>
        <w:contextualSpacing/>
        <w:rPr>
          <w:rFonts w:hint="eastAsia" w:ascii="Times New Roman" w:hAnsi="Times New Roman" w:eastAsia="仿宋" w:cs="Times New Roman"/>
          <w:color w:val="000000"/>
          <w:sz w:val="32"/>
          <w:szCs w:val="32"/>
          <w:lang w:eastAsia="zh-CN"/>
        </w:rPr>
      </w:pPr>
      <w:r>
        <w:rPr>
          <w:rFonts w:hint="eastAsia" w:ascii="Times New Roman" w:hAnsi="Times New Roman" w:eastAsia="仿宋" w:cs="Times New Roman"/>
          <w:color w:val="000000"/>
          <w:sz w:val="32"/>
          <w:szCs w:val="32"/>
          <w:lang w:eastAsia="zh-CN"/>
        </w:rPr>
        <w:t>2020年国有资本经营预算拨款支出0万元。</w:t>
      </w:r>
    </w:p>
    <w:p>
      <w:pPr>
        <w:spacing w:line="580" w:lineRule="atLeast"/>
        <w:ind w:firstLine="800" w:firstLineChars="250"/>
        <w:outlineLvl w:val="1"/>
        <w:rPr>
          <w:rStyle w:val="40"/>
          <w:rFonts w:ascii="Times New Roman" w:hAnsi="Times New Roman" w:eastAsia="黑体"/>
        </w:rPr>
      </w:pPr>
      <w:bookmarkStart w:id="70" w:name="_Toc15377221"/>
      <w:bookmarkStart w:id="71" w:name="_Toc15396612"/>
      <w:bookmarkStart w:id="72" w:name="_Toc13655"/>
      <w:r>
        <w:rPr>
          <w:rFonts w:eastAsia="黑体"/>
          <w:color w:val="000000"/>
          <w:sz w:val="32"/>
          <w:szCs w:val="32"/>
        </w:rPr>
        <w:t>十</w:t>
      </w:r>
      <w:r>
        <w:rPr>
          <w:rStyle w:val="40"/>
          <w:rFonts w:ascii="Times New Roman" w:hAnsi="Times New Roman" w:eastAsia="黑体"/>
        </w:rPr>
        <w:t>、</w:t>
      </w:r>
      <w:r>
        <w:rPr>
          <w:rStyle w:val="40"/>
          <w:rFonts w:ascii="Times New Roman" w:hAnsi="Times New Roman" w:eastAsia="黑体"/>
          <w:b w:val="0"/>
        </w:rPr>
        <w:t>其他重要事项的情况说明</w:t>
      </w:r>
      <w:bookmarkEnd w:id="70"/>
      <w:bookmarkEnd w:id="71"/>
      <w:bookmarkEnd w:id="72"/>
    </w:p>
    <w:p>
      <w:pPr>
        <w:spacing w:line="580" w:lineRule="atLeast"/>
        <w:ind w:firstLine="643" w:firstLineChars="200"/>
        <w:outlineLvl w:val="2"/>
        <w:rPr>
          <w:rFonts w:eastAsia="仿宋"/>
          <w:color w:val="000000"/>
          <w:sz w:val="32"/>
          <w:szCs w:val="32"/>
        </w:rPr>
      </w:pPr>
      <w:bookmarkStart w:id="73" w:name="_Toc15377222"/>
      <w:r>
        <w:rPr>
          <w:rFonts w:eastAsia="仿宋"/>
          <w:b/>
          <w:color w:val="000000"/>
          <w:sz w:val="32"/>
          <w:szCs w:val="32"/>
        </w:rPr>
        <w:t>（一）机关运行经费支出情况</w:t>
      </w:r>
      <w:bookmarkEnd w:id="73"/>
    </w:p>
    <w:p>
      <w:pPr>
        <w:ind w:firstLine="640"/>
        <w:contextualSpacing/>
        <w:rPr>
          <w:rFonts w:hint="eastAsia" w:ascii="Times New Roman" w:hAnsi="Times New Roman" w:eastAsia="仿宋" w:cs="Times New Roman"/>
          <w:color w:val="000000"/>
          <w:sz w:val="32"/>
          <w:szCs w:val="32"/>
          <w:lang w:eastAsia="zh-CN"/>
        </w:rPr>
      </w:pPr>
      <w:bookmarkStart w:id="74" w:name="_Toc15377223"/>
      <w:r>
        <w:rPr>
          <w:rFonts w:hint="eastAsia" w:ascii="Times New Roman" w:hAnsi="Times New Roman" w:eastAsia="仿宋" w:cs="Times New Roman"/>
          <w:color w:val="000000"/>
          <w:sz w:val="32"/>
          <w:szCs w:val="32"/>
          <w:lang w:eastAsia="zh-CN"/>
        </w:rPr>
        <w:t>无机关运行经费支出。</w:t>
      </w:r>
    </w:p>
    <w:p>
      <w:pPr>
        <w:spacing w:line="580" w:lineRule="atLeast"/>
        <w:ind w:firstLine="643" w:firstLineChars="200"/>
        <w:rPr>
          <w:rFonts w:eastAsia="仿宋"/>
          <w:b/>
          <w:color w:val="000000"/>
          <w:sz w:val="32"/>
          <w:szCs w:val="32"/>
        </w:rPr>
      </w:pPr>
      <w:r>
        <w:rPr>
          <w:rFonts w:eastAsia="仿宋"/>
          <w:b/>
          <w:color w:val="000000"/>
          <w:sz w:val="32"/>
          <w:szCs w:val="32"/>
        </w:rPr>
        <w:t>（二）政府采购支出情况</w:t>
      </w:r>
      <w:bookmarkEnd w:id="74"/>
    </w:p>
    <w:p>
      <w:pPr>
        <w:ind w:firstLine="640"/>
        <w:contextualSpacing/>
        <w:rPr>
          <w:rFonts w:hint="eastAsia" w:ascii="Times New Roman" w:hAnsi="Times New Roman" w:eastAsia="仿宋" w:cs="Times New Roman"/>
          <w:color w:val="000000"/>
          <w:sz w:val="32"/>
          <w:szCs w:val="32"/>
          <w:lang w:eastAsia="zh-CN"/>
        </w:rPr>
      </w:pPr>
      <w:bookmarkStart w:id="75" w:name="_Toc15377224"/>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年，泸</w:t>
      </w:r>
      <w:r>
        <w:rPr>
          <w:rFonts w:hint="eastAsia" w:ascii="Times New Roman" w:hAnsi="Times New Roman" w:eastAsia="仿宋" w:cs="Times New Roman"/>
          <w:color w:val="000000"/>
          <w:sz w:val="32"/>
          <w:szCs w:val="32"/>
          <w:lang w:eastAsia="zh-CN"/>
        </w:rPr>
        <w:t>县</w:t>
      </w:r>
      <w:r>
        <w:rPr>
          <w:rFonts w:ascii="Times New Roman" w:hAnsi="Times New Roman" w:eastAsia="仿宋" w:cs="Times New Roman"/>
          <w:color w:val="000000"/>
          <w:sz w:val="32"/>
          <w:szCs w:val="32"/>
        </w:rPr>
        <w:t>公共资源交易中心</w:t>
      </w:r>
      <w:r>
        <w:rPr>
          <w:rFonts w:hint="eastAsia" w:ascii="Times New Roman" w:hAnsi="Times New Roman" w:eastAsia="仿宋" w:cs="Times New Roman"/>
          <w:color w:val="000000"/>
          <w:sz w:val="32"/>
          <w:szCs w:val="32"/>
        </w:rPr>
        <w:t>政府采购支出总额</w:t>
      </w:r>
      <w:r>
        <w:rPr>
          <w:rFonts w:hint="eastAsia" w:ascii="Times New Roman" w:hAnsi="Times New Roman" w:eastAsia="仿宋" w:cs="Times New Roman"/>
          <w:color w:val="000000"/>
          <w:sz w:val="32"/>
          <w:szCs w:val="32"/>
          <w:lang w:val="en-US" w:eastAsia="zh-CN"/>
        </w:rPr>
        <w:t>20</w:t>
      </w:r>
      <w:r>
        <w:rPr>
          <w:rFonts w:hint="eastAsia" w:ascii="Times New Roman" w:hAnsi="Times New Roman" w:eastAsia="仿宋" w:cs="Times New Roman"/>
          <w:color w:val="000000"/>
          <w:sz w:val="32"/>
          <w:szCs w:val="32"/>
        </w:rPr>
        <w:t>万元，其中：政府采购货物支出</w:t>
      </w:r>
      <w:r>
        <w:rPr>
          <w:rFonts w:hint="eastAsia" w:ascii="Times New Roman" w:hAnsi="Times New Roman" w:eastAsia="仿宋" w:cs="Times New Roman"/>
          <w:color w:val="000000"/>
          <w:sz w:val="32"/>
          <w:szCs w:val="32"/>
          <w:lang w:val="en-US" w:eastAsia="zh-CN"/>
        </w:rPr>
        <w:t>20</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rPr>
        <w:t>主要用于评标设备购置</w:t>
      </w:r>
      <w:r>
        <w:rPr>
          <w:rFonts w:hint="eastAsia" w:ascii="Times New Roman" w:hAnsi="Times New Roman" w:eastAsia="仿宋" w:cs="Times New Roman"/>
          <w:color w:val="000000"/>
          <w:sz w:val="32"/>
          <w:szCs w:val="32"/>
          <w:lang w:eastAsia="zh-CN"/>
        </w:rPr>
        <w:t>和工作人员服装费用</w:t>
      </w:r>
      <w:r>
        <w:rPr>
          <w:rFonts w:hint="eastAsia" w:ascii="Times New Roman" w:hAnsi="Times New Roman" w:eastAsia="仿宋" w:cs="Times New Roman"/>
          <w:color w:val="000000"/>
          <w:sz w:val="32"/>
          <w:szCs w:val="32"/>
        </w:rPr>
        <w:t>。占政府采购支出总额的</w:t>
      </w:r>
      <w:r>
        <w:rPr>
          <w:rFonts w:ascii="Times New Roman" w:hAnsi="Times New Roman" w:eastAsia="仿宋" w:cs="Times New Roman"/>
          <w:color w:val="000000"/>
          <w:sz w:val="32"/>
          <w:szCs w:val="32"/>
        </w:rPr>
        <w:t>100%</w:t>
      </w:r>
      <w:r>
        <w:rPr>
          <w:rFonts w:hint="eastAsia" w:ascii="Times New Roman" w:hAnsi="Times New Roman" w:eastAsia="仿宋" w:cs="Times New Roman"/>
          <w:color w:val="000000"/>
          <w:sz w:val="32"/>
          <w:szCs w:val="32"/>
          <w:lang w:eastAsia="zh-CN"/>
        </w:rPr>
        <w:t>。</w:t>
      </w:r>
    </w:p>
    <w:p>
      <w:pPr>
        <w:autoSpaceDE w:val="0"/>
        <w:autoSpaceDN w:val="0"/>
        <w:adjustRightInd w:val="0"/>
        <w:spacing w:line="580" w:lineRule="atLeast"/>
        <w:ind w:firstLine="643" w:firstLineChars="200"/>
        <w:jc w:val="left"/>
        <w:outlineLvl w:val="2"/>
        <w:rPr>
          <w:rFonts w:eastAsia="仿宋"/>
          <w:b/>
          <w:color w:val="000000"/>
          <w:sz w:val="32"/>
          <w:szCs w:val="32"/>
        </w:rPr>
      </w:pPr>
      <w:r>
        <w:rPr>
          <w:rFonts w:eastAsia="仿宋"/>
          <w:b/>
          <w:color w:val="000000"/>
          <w:sz w:val="32"/>
          <w:szCs w:val="32"/>
        </w:rPr>
        <w:t>（三）国有资产占有使用情况</w:t>
      </w:r>
      <w:bookmarkEnd w:id="75"/>
    </w:p>
    <w:p>
      <w:pPr>
        <w:ind w:firstLine="640"/>
        <w:contextualSpacing/>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截至2020年12月31日，</w:t>
      </w:r>
      <w:r>
        <w:rPr>
          <w:rFonts w:hint="eastAsia" w:ascii="Times New Roman" w:hAnsi="Times New Roman" w:eastAsia="仿宋" w:cs="Times New Roman"/>
          <w:color w:val="000000"/>
          <w:sz w:val="32"/>
          <w:szCs w:val="32"/>
        </w:rPr>
        <w:t>泸</w:t>
      </w:r>
      <w:r>
        <w:rPr>
          <w:rFonts w:hint="eastAsia" w:ascii="Times New Roman" w:hAnsi="Times New Roman" w:eastAsia="仿宋" w:cs="Times New Roman"/>
          <w:color w:val="000000"/>
          <w:sz w:val="32"/>
          <w:szCs w:val="32"/>
          <w:lang w:eastAsia="zh-CN"/>
        </w:rPr>
        <w:t>县</w:t>
      </w:r>
      <w:r>
        <w:rPr>
          <w:rFonts w:ascii="Times New Roman" w:hAnsi="Times New Roman" w:eastAsia="仿宋" w:cs="Times New Roman"/>
          <w:color w:val="000000"/>
          <w:sz w:val="32"/>
          <w:szCs w:val="32"/>
        </w:rPr>
        <w:t>公共资源交易中心共有车辆1辆，其中：其他用车1辆，主要是用于中心日常交易服务等所需的公务用车燃料费、维修费、过路过桥费、保险费等支出。无单价50万元以上通用设备，无单价100万元以上专用设备。</w:t>
      </w:r>
    </w:p>
    <w:p>
      <w:pPr>
        <w:numPr>
          <w:ilvl w:val="0"/>
          <w:numId w:val="2"/>
        </w:numPr>
        <w:ind w:left="210" w:leftChars="0" w:firstLine="643" w:firstLineChars="0"/>
        <w:rPr>
          <w:rFonts w:ascii="楷体" w:hAnsi="楷体" w:eastAsia="楷体"/>
          <w:b/>
          <w:bCs/>
          <w:sz w:val="32"/>
          <w:szCs w:val="32"/>
        </w:rPr>
      </w:pPr>
      <w:bookmarkStart w:id="76" w:name="_Toc51763425"/>
      <w:r>
        <w:rPr>
          <w:rFonts w:ascii="楷体" w:hAnsi="楷体" w:eastAsia="楷体"/>
          <w:b/>
          <w:bCs/>
          <w:sz w:val="32"/>
          <w:szCs w:val="32"/>
        </w:rPr>
        <w:t>预算绩效管理情况</w:t>
      </w:r>
      <w:bookmarkEnd w:id="76"/>
    </w:p>
    <w:p>
      <w:pPr>
        <w:ind w:firstLine="640"/>
        <w:contextualSpacing/>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根据预算绩效管理要求，</w:t>
      </w:r>
      <w:r>
        <w:rPr>
          <w:rFonts w:hint="eastAsia" w:ascii="Times New Roman" w:hAnsi="Times New Roman" w:eastAsia="仿宋" w:cs="Times New Roman"/>
          <w:color w:val="000000"/>
          <w:sz w:val="32"/>
          <w:szCs w:val="32"/>
        </w:rPr>
        <w:t>本单位</w:t>
      </w:r>
      <w:r>
        <w:rPr>
          <w:rFonts w:ascii="Times New Roman" w:hAnsi="Times New Roman" w:eastAsia="仿宋" w:cs="Times New Roman"/>
          <w:color w:val="000000"/>
          <w:sz w:val="32"/>
          <w:szCs w:val="32"/>
        </w:rPr>
        <w:t>在年初预算编制阶段，对</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个项目编制了绩效目标，预算执行过程中，选取</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个项目开展绩效监控，年终执行完毕后，对</w:t>
      </w:r>
      <w:r>
        <w:rPr>
          <w:rFonts w:hint="eastAsia" w:ascii="Times New Roman" w:hAnsi="Times New Roman" w:eastAsia="仿宋" w:cs="Times New Roman"/>
          <w:color w:val="000000"/>
          <w:sz w:val="32"/>
          <w:szCs w:val="32"/>
          <w:lang w:val="en-US" w:eastAsia="zh-CN"/>
        </w:rPr>
        <w:t>2</w:t>
      </w:r>
      <w:r>
        <w:rPr>
          <w:rFonts w:ascii="Times New Roman" w:hAnsi="Times New Roman" w:eastAsia="仿宋" w:cs="Times New Roman"/>
          <w:color w:val="000000"/>
          <w:sz w:val="32"/>
          <w:szCs w:val="32"/>
        </w:rPr>
        <w:t>个项目开展了绩效目标完成情况自评。</w:t>
      </w:r>
    </w:p>
    <w:p>
      <w:pPr>
        <w:ind w:firstLine="640"/>
        <w:contextualSpacing/>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本单位</w:t>
      </w:r>
      <w:r>
        <w:rPr>
          <w:rFonts w:ascii="Times New Roman" w:hAnsi="Times New Roman" w:eastAsia="仿宋" w:cs="Times New Roman"/>
          <w:color w:val="000000"/>
          <w:sz w:val="32"/>
          <w:szCs w:val="32"/>
        </w:rPr>
        <w:t>按要求对2020年</w:t>
      </w:r>
      <w:r>
        <w:rPr>
          <w:rFonts w:hint="eastAsia" w:ascii="Times New Roman" w:hAnsi="Times New Roman" w:eastAsia="仿宋" w:cs="Times New Roman"/>
          <w:color w:val="000000"/>
          <w:sz w:val="32"/>
          <w:szCs w:val="32"/>
        </w:rPr>
        <w:t>部门</w:t>
      </w:r>
      <w:r>
        <w:rPr>
          <w:rFonts w:ascii="Times New Roman" w:hAnsi="Times New Roman" w:eastAsia="仿宋" w:cs="Times New Roman"/>
          <w:color w:val="000000"/>
          <w:sz w:val="32"/>
          <w:szCs w:val="32"/>
        </w:rPr>
        <w:t>整体支出开展绩效自评，从评价情况来看，2020年整体支出绩效评价结果良好</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全年支出保证了单位的正常运行和日常工作的正常开展</w:t>
      </w:r>
      <w:r>
        <w:rPr>
          <w:rFonts w:hint="eastAsia" w:ascii="Times New Roman" w:hAnsi="Times New Roman" w:eastAsia="仿宋" w:cs="Times New Roman"/>
          <w:color w:val="000000"/>
          <w:sz w:val="32"/>
          <w:szCs w:val="32"/>
        </w:rPr>
        <w:t>，</w:t>
      </w:r>
      <w:r>
        <w:rPr>
          <w:rFonts w:ascii="Times New Roman" w:hAnsi="Times New Roman" w:eastAsia="仿宋" w:cs="Times New Roman"/>
          <w:color w:val="000000"/>
          <w:sz w:val="32"/>
          <w:szCs w:val="32"/>
        </w:rPr>
        <w:t>项目支出保障了重点工作的开展。</w:t>
      </w:r>
      <w:r>
        <w:rPr>
          <w:rFonts w:hint="eastAsia" w:ascii="Times New Roman" w:hAnsi="Times New Roman" w:eastAsia="仿宋" w:cs="Times New Roman"/>
          <w:color w:val="000000"/>
          <w:sz w:val="32"/>
          <w:szCs w:val="32"/>
        </w:rPr>
        <w:t>本单位还自行组织了</w:t>
      </w:r>
      <w:r>
        <w:rPr>
          <w:rFonts w:hint="eastAsia" w:ascii="Times New Roman" w:hAnsi="Times New Roman" w:eastAsia="仿宋" w:cs="Times New Roman"/>
          <w:color w:val="000000"/>
          <w:sz w:val="32"/>
          <w:szCs w:val="32"/>
          <w:lang w:val="en-US" w:eastAsia="zh-CN"/>
        </w:rPr>
        <w:t>2</w:t>
      </w:r>
      <w:r>
        <w:rPr>
          <w:rFonts w:hint="eastAsia" w:ascii="Times New Roman" w:hAnsi="Times New Roman" w:eastAsia="仿宋" w:cs="Times New Roman"/>
          <w:color w:val="000000"/>
          <w:sz w:val="32"/>
          <w:szCs w:val="32"/>
        </w:rPr>
        <w:t>个项目支出绩效评价，从评价情况来看</w:t>
      </w:r>
      <w:r>
        <w:rPr>
          <w:rFonts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rPr>
        <w:t>项目支出绩效评价结果良好。</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color w:val="000000"/>
          <w:sz w:val="32"/>
          <w:szCs w:val="32"/>
        </w:rPr>
        <w:t>我中心在2020年度部门决算中反映“</w:t>
      </w:r>
      <w:r>
        <w:rPr>
          <w:rFonts w:hint="eastAsia" w:ascii="仿宋" w:hAnsi="仿宋" w:eastAsia="仿宋"/>
          <w:color w:val="000000"/>
          <w:sz w:val="32"/>
          <w:szCs w:val="32"/>
          <w:lang w:eastAsia="zh-CN"/>
        </w:rPr>
        <w:t>专家评审</w:t>
      </w:r>
      <w:r>
        <w:rPr>
          <w:rFonts w:hint="eastAsia" w:ascii="仿宋" w:hAnsi="仿宋" w:eastAsia="仿宋"/>
          <w:color w:val="000000"/>
          <w:sz w:val="32"/>
          <w:szCs w:val="32"/>
        </w:rPr>
        <w:t>费</w:t>
      </w:r>
      <w:r>
        <w:rPr>
          <w:rFonts w:ascii="仿宋" w:hAnsi="仿宋" w:eastAsia="仿宋"/>
          <w:color w:val="000000"/>
          <w:sz w:val="32"/>
          <w:szCs w:val="32"/>
        </w:rPr>
        <w:t>”</w:t>
      </w:r>
      <w:r>
        <w:rPr>
          <w:rFonts w:hint="eastAsia" w:ascii="仿宋" w:hAnsi="仿宋" w:eastAsia="仿宋"/>
          <w:color w:val="000000"/>
          <w:sz w:val="32"/>
          <w:szCs w:val="32"/>
        </w:rPr>
        <w:t xml:space="preserve">     </w:t>
      </w:r>
      <w:r>
        <w:rPr>
          <w:rFonts w:ascii="仿宋" w:hAnsi="仿宋" w:eastAsia="仿宋"/>
          <w:color w:val="000000"/>
          <w:sz w:val="32"/>
          <w:szCs w:val="32"/>
        </w:rPr>
        <w:t>“</w:t>
      </w:r>
      <w:r>
        <w:rPr>
          <w:rFonts w:hint="eastAsia" w:ascii="仿宋" w:hAnsi="仿宋" w:eastAsia="仿宋"/>
          <w:color w:val="000000"/>
          <w:sz w:val="32"/>
          <w:szCs w:val="32"/>
        </w:rPr>
        <w:t>公共资源交易业务运行经费</w:t>
      </w:r>
      <w:r>
        <w:rPr>
          <w:rFonts w:ascii="仿宋" w:hAnsi="仿宋" w:eastAsia="仿宋"/>
          <w:color w:val="000000"/>
          <w:sz w:val="32"/>
          <w:szCs w:val="32"/>
        </w:rPr>
        <w:t>”</w:t>
      </w:r>
      <w:r>
        <w:rPr>
          <w:rFonts w:hint="eastAsia" w:ascii="仿宋" w:hAnsi="仿宋" w:eastAsia="仿宋"/>
          <w:color w:val="000000"/>
          <w:sz w:val="32"/>
          <w:szCs w:val="32"/>
        </w:rPr>
        <w:t>等2个项目绩效目标实际完成情况。</w:t>
      </w:r>
    </w:p>
    <w:p>
      <w:pPr>
        <w:spacing w:line="600" w:lineRule="exact"/>
        <w:ind w:firstLine="640" w:firstLineChars="200"/>
        <w:rPr>
          <w:rFonts w:hint="eastAsia" w:ascii="仿宋" w:hAnsi="仿宋" w:eastAsia="仿宋"/>
          <w:color w:val="000000"/>
          <w:sz w:val="32"/>
          <w:szCs w:val="32"/>
        </w:rPr>
      </w:pPr>
      <w:r>
        <w:rPr>
          <w:rFonts w:hint="eastAsia" w:ascii="仿宋_GB2312" w:hAnsi="仿宋_GB2312" w:eastAsia="仿宋_GB2312" w:cs="仿宋_GB2312"/>
          <w:sz w:val="32"/>
          <w:szCs w:val="32"/>
        </w:rPr>
        <w:t>（1）</w:t>
      </w:r>
      <w:r>
        <w:rPr>
          <w:rFonts w:hint="eastAsia" w:ascii="Times New Roman" w:hAnsi="Times New Roman" w:eastAsia="仿宋" w:cs="Times New Roman"/>
          <w:color w:val="000000"/>
          <w:sz w:val="32"/>
          <w:szCs w:val="32"/>
          <w:lang w:eastAsia="zh-CN"/>
        </w:rPr>
        <w:t>专家评审</w:t>
      </w:r>
      <w:r>
        <w:rPr>
          <w:rFonts w:hint="eastAsia" w:ascii="仿宋_GB2312" w:hAnsi="仿宋_GB2312" w:eastAsia="仿宋_GB2312" w:cs="仿宋_GB2312"/>
          <w:sz w:val="32"/>
          <w:szCs w:val="32"/>
        </w:rPr>
        <w:t>费项目绩效目标完成情况综述。</w:t>
      </w:r>
      <w:r>
        <w:rPr>
          <w:rFonts w:hint="eastAsia" w:ascii="仿宋" w:hAnsi="仿宋" w:eastAsia="仿宋"/>
          <w:color w:val="000000"/>
          <w:sz w:val="32"/>
          <w:szCs w:val="32"/>
        </w:rPr>
        <w:t>项目全年预算数</w:t>
      </w:r>
      <w:r>
        <w:rPr>
          <w:rFonts w:hint="eastAsia" w:ascii="仿宋" w:hAnsi="仿宋" w:eastAsia="仿宋"/>
          <w:color w:val="000000"/>
          <w:sz w:val="32"/>
          <w:szCs w:val="32"/>
          <w:lang w:val="en-US" w:eastAsia="zh-CN"/>
        </w:rPr>
        <w:t>90</w:t>
      </w:r>
      <w:r>
        <w:rPr>
          <w:rFonts w:hint="eastAsia" w:ascii="仿宋" w:hAnsi="仿宋" w:eastAsia="仿宋"/>
          <w:color w:val="000000"/>
          <w:sz w:val="32"/>
          <w:szCs w:val="32"/>
        </w:rPr>
        <w:t>万元，执行数为</w:t>
      </w:r>
      <w:r>
        <w:rPr>
          <w:rFonts w:hint="eastAsia" w:ascii="仿宋" w:hAnsi="仿宋" w:eastAsia="仿宋"/>
          <w:color w:val="000000"/>
          <w:sz w:val="32"/>
          <w:szCs w:val="32"/>
          <w:lang w:val="en-US" w:eastAsia="zh-CN"/>
        </w:rPr>
        <w:t>73.16</w:t>
      </w:r>
      <w:r>
        <w:rPr>
          <w:rFonts w:hint="eastAsia" w:ascii="仿宋" w:hAnsi="仿宋" w:eastAsia="仿宋"/>
          <w:color w:val="000000"/>
          <w:sz w:val="32"/>
          <w:szCs w:val="32"/>
        </w:rPr>
        <w:t>万元，完成预算的</w:t>
      </w:r>
      <w:r>
        <w:rPr>
          <w:rFonts w:hint="eastAsia" w:ascii="仿宋" w:hAnsi="仿宋" w:eastAsia="仿宋"/>
          <w:color w:val="000000"/>
          <w:sz w:val="32"/>
          <w:szCs w:val="32"/>
          <w:lang w:val="en-US" w:eastAsia="zh-CN"/>
        </w:rPr>
        <w:t>81.29</w:t>
      </w:r>
      <w:r>
        <w:rPr>
          <w:rFonts w:hint="eastAsia" w:ascii="仿宋" w:hAnsi="仿宋" w:eastAsia="仿宋"/>
          <w:color w:val="000000"/>
          <w:sz w:val="32"/>
          <w:szCs w:val="32"/>
        </w:rPr>
        <w:t>%。通过项目实施，保障了政府采购及土地拍</w:t>
      </w:r>
      <w:r>
        <w:rPr>
          <w:rFonts w:hint="eastAsia" w:ascii="仿宋" w:hAnsi="仿宋" w:eastAsia="仿宋"/>
          <w:color w:val="000000"/>
          <w:sz w:val="32"/>
          <w:szCs w:val="32"/>
          <w:lang w:eastAsia="zh-CN"/>
        </w:rPr>
        <w:t>卖</w:t>
      </w:r>
      <w:r>
        <w:rPr>
          <w:rFonts w:hint="eastAsia" w:ascii="仿宋" w:hAnsi="仿宋" w:eastAsia="仿宋"/>
          <w:color w:val="000000"/>
          <w:sz w:val="32"/>
          <w:szCs w:val="32"/>
        </w:rPr>
        <w:t>、</w:t>
      </w:r>
      <w:r>
        <w:rPr>
          <w:rFonts w:hint="eastAsia" w:ascii="仿宋" w:hAnsi="仿宋" w:eastAsia="仿宋"/>
          <w:color w:val="000000"/>
          <w:sz w:val="32"/>
          <w:szCs w:val="32"/>
          <w:lang w:eastAsia="zh-CN"/>
        </w:rPr>
        <w:t>国有资产</w:t>
      </w:r>
      <w:r>
        <w:rPr>
          <w:rFonts w:hint="eastAsia" w:ascii="仿宋" w:hAnsi="仿宋" w:eastAsia="仿宋"/>
          <w:color w:val="000000"/>
          <w:sz w:val="32"/>
          <w:szCs w:val="32"/>
        </w:rPr>
        <w:t>矿产出让规范性和高效性。发现的主要问题：专家评审费与项目数量直接相关，预算编制时无法准确编制专家评审费预算。</w:t>
      </w:r>
    </w:p>
    <w:p>
      <w:pPr>
        <w:spacing w:line="600" w:lineRule="exact"/>
        <w:ind w:firstLine="640" w:firstLineChars="200"/>
        <w:rPr>
          <w:rFonts w:hint="eastAsia" w:ascii="Times New Roman" w:hAnsi="Times New Roman" w:eastAsia="仿宋" w:cs="Times New Roman"/>
          <w:color w:val="000000"/>
          <w:sz w:val="32"/>
          <w:szCs w:val="32"/>
        </w:rPr>
      </w:pPr>
      <w:r>
        <w:rPr>
          <w:rFonts w:hint="eastAsia" w:ascii="仿宋_GB2312" w:hAnsi="仿宋_GB2312" w:eastAsia="仿宋_GB2312" w:cs="仿宋_GB2312"/>
          <w:sz w:val="32"/>
          <w:szCs w:val="32"/>
        </w:rPr>
        <w:t>（2）</w:t>
      </w:r>
      <w:r>
        <w:rPr>
          <w:rFonts w:hint="eastAsia" w:ascii="Times New Roman" w:hAnsi="Times New Roman" w:eastAsia="仿宋" w:cs="Times New Roman"/>
          <w:color w:val="000000"/>
          <w:sz w:val="32"/>
          <w:szCs w:val="32"/>
        </w:rPr>
        <w:t>公共资源交易业务运行经费项目绩效目标完成情况综述。项目全年预算数</w:t>
      </w:r>
      <w:r>
        <w:rPr>
          <w:rFonts w:hint="eastAsia" w:ascii="Times New Roman" w:hAnsi="Times New Roman" w:eastAsia="仿宋" w:cs="Times New Roman"/>
          <w:color w:val="000000"/>
          <w:sz w:val="32"/>
          <w:szCs w:val="32"/>
          <w:lang w:val="en-US" w:eastAsia="zh-CN"/>
        </w:rPr>
        <w:t>22</w:t>
      </w:r>
      <w:r>
        <w:rPr>
          <w:rFonts w:hint="eastAsia" w:ascii="Times New Roman" w:hAnsi="Times New Roman" w:eastAsia="仿宋" w:cs="Times New Roman"/>
          <w:color w:val="000000"/>
          <w:sz w:val="32"/>
          <w:szCs w:val="32"/>
        </w:rPr>
        <w:t>万元，执行数为</w:t>
      </w:r>
      <w:r>
        <w:rPr>
          <w:rFonts w:hint="eastAsia" w:ascii="Times New Roman" w:hAnsi="Times New Roman" w:eastAsia="仿宋" w:cs="Times New Roman"/>
          <w:color w:val="000000"/>
          <w:sz w:val="32"/>
          <w:szCs w:val="32"/>
          <w:lang w:val="en-US" w:eastAsia="zh-CN"/>
        </w:rPr>
        <w:t>22</w:t>
      </w:r>
      <w:r>
        <w:rPr>
          <w:rFonts w:hint="eastAsia" w:ascii="Times New Roman" w:hAnsi="Times New Roman" w:eastAsia="仿宋" w:cs="Times New Roman"/>
          <w:color w:val="000000"/>
          <w:sz w:val="32"/>
          <w:szCs w:val="32"/>
        </w:rPr>
        <w:t>万元，完成预算的100%。通过项目实施，</w:t>
      </w:r>
      <w:r>
        <w:rPr>
          <w:rFonts w:ascii="Times New Roman" w:hAnsi="Times New Roman" w:eastAsia="仿宋" w:cs="Times New Roman"/>
          <w:color w:val="000000"/>
          <w:sz w:val="32"/>
          <w:szCs w:val="32"/>
        </w:rPr>
        <w:t>有序推进政府采购、国有资产、土地与矿权、农村产权</w:t>
      </w:r>
      <w:r>
        <w:rPr>
          <w:rFonts w:ascii="Times New Roman" w:hAnsi="Times New Roman" w:eastAsia="仿宋" w:cs="Times New Roman"/>
          <w:color w:val="000000"/>
          <w:sz w:val="32"/>
          <w:szCs w:val="32"/>
        </w:rPr>
        <w:t>等相关业务工作；</w:t>
      </w:r>
      <w:r>
        <w:rPr>
          <w:rFonts w:hint="eastAsia" w:ascii="Times New Roman" w:hAnsi="Times New Roman" w:eastAsia="仿宋" w:cs="Times New Roman"/>
          <w:color w:val="000000"/>
          <w:sz w:val="32"/>
          <w:szCs w:val="32"/>
        </w:rPr>
        <w:t>让社会各界更加了解公共资源交易的各项政策，激发更多供应商参与竞争，全力打造统一规范的公共资源交易平台。</w:t>
      </w: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2"/>
        <w:rPr>
          <w:rFonts w:hint="eastAsia" w:ascii="仿宋" w:hAnsi="仿宋" w:eastAsia="仿宋"/>
          <w:color w:val="000000"/>
          <w:sz w:val="32"/>
          <w:szCs w:val="32"/>
        </w:rPr>
      </w:pPr>
    </w:p>
    <w:tbl>
      <w:tblPr>
        <w:tblStyle w:val="14"/>
        <w:tblW w:w="8789"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36"/>
        <w:gridCol w:w="510"/>
        <w:gridCol w:w="662"/>
        <w:gridCol w:w="455"/>
        <w:gridCol w:w="430"/>
        <w:gridCol w:w="858"/>
        <w:gridCol w:w="1201"/>
        <w:gridCol w:w="760"/>
        <w:gridCol w:w="1296"/>
        <w:gridCol w:w="254"/>
        <w:gridCol w:w="1827"/>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12" w:hRule="atLeast"/>
        </w:trPr>
        <w:tc>
          <w:tcPr>
            <w:tcW w:w="8789" w:type="dxa"/>
            <w:gridSpan w:val="11"/>
            <w:tcBorders>
              <w:bottom w:val="nil"/>
              <w:tl2br w:val="nil"/>
              <w:tr2bl w:val="nil"/>
            </w:tcBorders>
            <w:shd w:val="clear" w:color="auto" w:fill="auto"/>
            <w:vAlign w:val="center"/>
          </w:tcPr>
          <w:p>
            <w:pPr>
              <w:widowControl/>
              <w:contextualSpacing/>
              <w:jc w:val="center"/>
              <w:rPr>
                <w:rFonts w:ascii="宋体" w:hAnsi="宋体" w:cs="宋体"/>
                <w:b/>
                <w:bCs/>
                <w:kern w:val="0"/>
                <w:sz w:val="32"/>
                <w:szCs w:val="32"/>
              </w:rPr>
            </w:pPr>
            <w:r>
              <w:rPr>
                <w:rFonts w:hint="eastAsia" w:ascii="宋体" w:hAnsi="宋体" w:cs="宋体"/>
                <w:b/>
                <w:bCs/>
                <w:kern w:val="0"/>
                <w:sz w:val="32"/>
                <w:szCs w:val="32"/>
                <w:lang w:eastAsia="zh-CN"/>
              </w:rPr>
              <w:t>专家评审</w:t>
            </w:r>
            <w:r>
              <w:rPr>
                <w:rFonts w:hint="eastAsia" w:ascii="宋体" w:hAnsi="宋体" w:cs="宋体"/>
                <w:b/>
                <w:bCs/>
                <w:kern w:val="0"/>
                <w:sz w:val="32"/>
                <w:szCs w:val="32"/>
              </w:rPr>
              <w:t>费项目绩效目标完成情况表</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0" w:hRule="atLeast"/>
        </w:trPr>
        <w:tc>
          <w:tcPr>
            <w:tcW w:w="8789" w:type="dxa"/>
            <w:gridSpan w:val="11"/>
            <w:tcBorders>
              <w:top w:val="nil"/>
            </w:tcBorders>
            <w:shd w:val="clear" w:color="auto" w:fill="auto"/>
            <w:vAlign w:val="center"/>
          </w:tcPr>
          <w:p>
            <w:pPr>
              <w:widowControl/>
              <w:contextualSpacing/>
              <w:jc w:val="center"/>
              <w:rPr>
                <w:rFonts w:ascii="宋体" w:hAnsi="宋体" w:cs="宋体"/>
                <w:kern w:val="0"/>
                <w:sz w:val="24"/>
              </w:rPr>
            </w:pPr>
            <w:r>
              <w:rPr>
                <w:rFonts w:hint="eastAsia" w:ascii="宋体" w:hAnsi="宋体" w:cs="宋体"/>
                <w:kern w:val="0"/>
                <w:sz w:val="24"/>
              </w:rPr>
              <w:t>(20</w:t>
            </w:r>
            <w:r>
              <w:rPr>
                <w:rFonts w:ascii="宋体" w:hAnsi="宋体" w:cs="宋体"/>
                <w:kern w:val="0"/>
                <w:sz w:val="24"/>
              </w:rPr>
              <w:t>20</w:t>
            </w:r>
            <w:r>
              <w:rPr>
                <w:rFonts w:hint="eastAsia" w:ascii="宋体" w:hAnsi="宋体" w:cs="宋体"/>
                <w:kern w:val="0"/>
                <w:sz w:val="24"/>
              </w:rPr>
              <w:t>年度)</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3451" w:type="dxa"/>
            <w:gridSpan w:val="6"/>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项目名称</w:t>
            </w:r>
          </w:p>
        </w:tc>
        <w:tc>
          <w:tcPr>
            <w:tcW w:w="5338" w:type="dxa"/>
            <w:gridSpan w:val="5"/>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lang w:eastAsia="zh-CN"/>
              </w:rPr>
              <w:t>专家评审</w:t>
            </w:r>
            <w:r>
              <w:rPr>
                <w:rFonts w:ascii="宋体" w:hAnsi="宋体" w:cs="宋体"/>
                <w:kern w:val="0"/>
                <w:sz w:val="20"/>
                <w:szCs w:val="20"/>
              </w:rPr>
              <w:t>费</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3451" w:type="dxa"/>
            <w:gridSpan w:val="6"/>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预算单位</w:t>
            </w:r>
          </w:p>
        </w:tc>
        <w:tc>
          <w:tcPr>
            <w:tcW w:w="5338" w:type="dxa"/>
            <w:gridSpan w:val="5"/>
            <w:tcBorders>
              <w:left w:val="single" w:color="auto" w:sz="4" w:space="0"/>
              <w:right w:val="single" w:color="auto" w:sz="4" w:space="0"/>
            </w:tcBorders>
            <w:shd w:val="clear" w:color="auto" w:fill="auto"/>
            <w:vAlign w:val="center"/>
          </w:tcPr>
          <w:p>
            <w:pPr>
              <w:widowControl/>
              <w:ind w:left="-359" w:leftChars="-171" w:firstLine="360" w:firstLineChars="180"/>
              <w:contextualSpacing/>
              <w:jc w:val="center"/>
              <w:rPr>
                <w:rFonts w:ascii="宋体" w:hAnsi="宋体" w:cs="宋体"/>
                <w:kern w:val="0"/>
                <w:sz w:val="20"/>
                <w:szCs w:val="20"/>
              </w:rPr>
            </w:pPr>
            <w:r>
              <w:rPr>
                <w:rFonts w:hint="eastAsia" w:ascii="宋体" w:hAnsi="宋体" w:cs="宋体"/>
                <w:kern w:val="0"/>
                <w:sz w:val="20"/>
                <w:szCs w:val="20"/>
              </w:rPr>
              <w:t>泸</w:t>
            </w:r>
            <w:r>
              <w:rPr>
                <w:rFonts w:hint="eastAsia" w:ascii="宋体" w:hAnsi="宋体" w:cs="宋体"/>
                <w:kern w:val="0"/>
                <w:sz w:val="20"/>
                <w:szCs w:val="20"/>
                <w:lang w:eastAsia="zh-CN"/>
              </w:rPr>
              <w:t>县</w:t>
            </w:r>
            <w:r>
              <w:rPr>
                <w:rFonts w:hint="eastAsia" w:ascii="宋体" w:hAnsi="宋体" w:cs="宋体"/>
                <w:kern w:val="0"/>
                <w:sz w:val="20"/>
                <w:szCs w:val="20"/>
              </w:rPr>
              <w:t>公共资源交易中心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预算</w:t>
            </w:r>
          </w:p>
          <w:p>
            <w:pPr>
              <w:widowControl/>
              <w:contextualSpacing/>
              <w:jc w:val="center"/>
              <w:rPr>
                <w:rFonts w:ascii="宋体" w:hAnsi="宋体" w:cs="宋体"/>
                <w:kern w:val="0"/>
                <w:sz w:val="20"/>
                <w:szCs w:val="20"/>
              </w:rPr>
            </w:pPr>
            <w:r>
              <w:rPr>
                <w:rFonts w:hint="eastAsia" w:ascii="宋体" w:hAnsi="宋体" w:cs="宋体"/>
                <w:kern w:val="0"/>
                <w:sz w:val="20"/>
                <w:szCs w:val="20"/>
              </w:rPr>
              <w:t>执行</w:t>
            </w:r>
          </w:p>
          <w:p>
            <w:pPr>
              <w:widowControl/>
              <w:contextualSpacing/>
              <w:jc w:val="center"/>
              <w:rPr>
                <w:rFonts w:ascii="宋体" w:hAnsi="宋体" w:cs="宋体"/>
                <w:kern w:val="0"/>
                <w:sz w:val="20"/>
                <w:szCs w:val="20"/>
              </w:rPr>
            </w:pPr>
            <w:r>
              <w:rPr>
                <w:rFonts w:hint="eastAsia" w:ascii="宋体" w:hAnsi="宋体" w:cs="宋体"/>
                <w:kern w:val="0"/>
                <w:sz w:val="20"/>
                <w:szCs w:val="20"/>
              </w:rPr>
              <w:t>情况</w:t>
            </w:r>
          </w:p>
          <w:p>
            <w:pPr>
              <w:widowControl/>
              <w:contextualSpacing/>
              <w:jc w:val="center"/>
              <w:rPr>
                <w:rFonts w:ascii="宋体" w:hAnsi="宋体" w:cs="宋体"/>
                <w:kern w:val="0"/>
                <w:sz w:val="20"/>
                <w:szCs w:val="20"/>
              </w:rPr>
            </w:pPr>
            <w:r>
              <w:rPr>
                <w:kern w:val="0"/>
                <w:sz w:val="20"/>
                <w:szCs w:val="20"/>
              </w:rPr>
              <w:t>(</w:t>
            </w:r>
            <w:r>
              <w:rPr>
                <w:rFonts w:hint="eastAsia" w:ascii="宋体" w:hAnsi="宋体" w:cs="宋体"/>
                <w:kern w:val="0"/>
                <w:sz w:val="20"/>
                <w:szCs w:val="20"/>
              </w:rPr>
              <w:t>万元</w:t>
            </w:r>
            <w:r>
              <w:rPr>
                <w:kern w:val="0"/>
                <w:sz w:val="20"/>
                <w:szCs w:val="20"/>
              </w:rPr>
              <w:t>)</w:t>
            </w:r>
          </w:p>
        </w:tc>
        <w:tc>
          <w:tcPr>
            <w:tcW w:w="2405" w:type="dxa"/>
            <w:gridSpan w:val="4"/>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预算数</w:t>
            </w:r>
            <w:r>
              <w:rPr>
                <w:kern w:val="0"/>
                <w:sz w:val="20"/>
                <w:szCs w:val="20"/>
              </w:rPr>
              <w:t>:</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90</w:t>
            </w:r>
          </w:p>
        </w:tc>
        <w:tc>
          <w:tcPr>
            <w:tcW w:w="1550"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执行数</w:t>
            </w:r>
            <w:r>
              <w:rPr>
                <w:kern w:val="0"/>
                <w:sz w:val="20"/>
                <w:szCs w:val="20"/>
              </w:rPr>
              <w:t>:</w:t>
            </w:r>
          </w:p>
        </w:tc>
        <w:tc>
          <w:tcPr>
            <w:tcW w:w="1827" w:type="dxa"/>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73.16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2405" w:type="dxa"/>
            <w:gridSpan w:val="4"/>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其中</w:t>
            </w:r>
            <w:r>
              <w:rPr>
                <w:kern w:val="0"/>
                <w:sz w:val="20"/>
                <w:szCs w:val="20"/>
              </w:rPr>
              <w:t>-</w:t>
            </w:r>
            <w:r>
              <w:rPr>
                <w:rFonts w:hint="eastAsia" w:ascii="宋体" w:hAnsi="宋体" w:cs="宋体"/>
                <w:kern w:val="0"/>
                <w:sz w:val="20"/>
                <w:szCs w:val="20"/>
              </w:rPr>
              <w:t>财政拨款</w:t>
            </w:r>
            <w:r>
              <w:rPr>
                <w:kern w:val="0"/>
                <w:sz w:val="20"/>
                <w:szCs w:val="20"/>
              </w:rPr>
              <w:t>:</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90</w:t>
            </w:r>
          </w:p>
        </w:tc>
        <w:tc>
          <w:tcPr>
            <w:tcW w:w="1550"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其中</w:t>
            </w:r>
            <w:r>
              <w:rPr>
                <w:kern w:val="0"/>
                <w:sz w:val="20"/>
                <w:szCs w:val="20"/>
              </w:rPr>
              <w:t>-</w:t>
            </w:r>
            <w:r>
              <w:rPr>
                <w:rFonts w:hint="eastAsia" w:ascii="宋体" w:hAnsi="宋体" w:cs="宋体"/>
                <w:kern w:val="0"/>
                <w:sz w:val="20"/>
                <w:szCs w:val="20"/>
              </w:rPr>
              <w:t>财政拨款</w:t>
            </w:r>
            <w:r>
              <w:rPr>
                <w:kern w:val="0"/>
                <w:sz w:val="20"/>
                <w:szCs w:val="20"/>
              </w:rPr>
              <w:t>:</w:t>
            </w:r>
          </w:p>
        </w:tc>
        <w:tc>
          <w:tcPr>
            <w:tcW w:w="1827" w:type="dxa"/>
            <w:tcBorders>
              <w:left w:val="single" w:color="auto" w:sz="4" w:space="0"/>
              <w:right w:val="single" w:color="auto" w:sz="4" w:space="0"/>
            </w:tcBorders>
            <w:shd w:val="clear" w:color="auto" w:fill="auto"/>
            <w:vAlign w:val="center"/>
          </w:tcPr>
          <w:p>
            <w:pPr>
              <w:widowControl/>
              <w:contextualSpacing/>
              <w:jc w:val="center"/>
              <w:rPr>
                <w:rFonts w:hint="default" w:eastAsia="等线"/>
                <w:kern w:val="0"/>
                <w:sz w:val="20"/>
                <w:szCs w:val="20"/>
                <w:lang w:val="en-US" w:eastAsia="zh-CN"/>
              </w:rPr>
            </w:pPr>
            <w:r>
              <w:rPr>
                <w:rFonts w:hint="eastAsia" w:eastAsia="等线"/>
                <w:kern w:val="0"/>
                <w:sz w:val="20"/>
                <w:szCs w:val="20"/>
                <w:lang w:val="en-US" w:eastAsia="zh-CN"/>
              </w:rPr>
              <w:t>73.16</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2405" w:type="dxa"/>
            <w:gridSpan w:val="4"/>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其它资金</w:t>
            </w:r>
            <w:r>
              <w:rPr>
                <w:kern w:val="0"/>
                <w:sz w:val="20"/>
                <w:szCs w:val="20"/>
              </w:rPr>
              <w:t>:</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eastAsia="等线"/>
                <w:kern w:val="0"/>
                <w:sz w:val="20"/>
                <w:szCs w:val="20"/>
              </w:rPr>
            </w:pPr>
            <w:r>
              <w:rPr>
                <w:rFonts w:eastAsia="等线"/>
                <w:kern w:val="0"/>
                <w:sz w:val="20"/>
                <w:szCs w:val="20"/>
              </w:rPr>
              <w:t>　</w:t>
            </w:r>
          </w:p>
        </w:tc>
        <w:tc>
          <w:tcPr>
            <w:tcW w:w="1550"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其它资金</w:t>
            </w:r>
            <w:r>
              <w:rPr>
                <w:kern w:val="0"/>
                <w:sz w:val="20"/>
                <w:szCs w:val="20"/>
              </w:rPr>
              <w:t>:</w:t>
            </w:r>
          </w:p>
        </w:tc>
        <w:tc>
          <w:tcPr>
            <w:tcW w:w="1827" w:type="dxa"/>
            <w:tcBorders>
              <w:left w:val="single" w:color="auto" w:sz="4" w:space="0"/>
              <w:right w:val="single" w:color="auto" w:sz="4" w:space="0"/>
            </w:tcBorders>
            <w:shd w:val="clear" w:color="auto" w:fill="auto"/>
            <w:vAlign w:val="center"/>
          </w:tcPr>
          <w:p>
            <w:pPr>
              <w:widowControl/>
              <w:contextualSpacing/>
              <w:jc w:val="center"/>
              <w:rPr>
                <w:rFonts w:eastAsia="等线"/>
                <w:kern w:val="0"/>
                <w:sz w:val="20"/>
                <w:szCs w:val="20"/>
              </w:rPr>
            </w:pPr>
            <w:r>
              <w:rPr>
                <w:rFonts w:eastAsia="等线"/>
                <w:kern w:val="0"/>
                <w:sz w:val="20"/>
                <w:szCs w:val="20"/>
              </w:rPr>
              <w:t>　</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1046"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年度</w:t>
            </w:r>
          </w:p>
          <w:p>
            <w:pPr>
              <w:widowControl/>
              <w:contextualSpacing/>
              <w:jc w:val="center"/>
              <w:rPr>
                <w:rFonts w:ascii="宋体" w:hAnsi="宋体" w:cs="宋体"/>
                <w:kern w:val="0"/>
                <w:sz w:val="20"/>
                <w:szCs w:val="20"/>
              </w:rPr>
            </w:pPr>
            <w:r>
              <w:rPr>
                <w:rFonts w:hint="eastAsia" w:ascii="宋体" w:hAnsi="宋体" w:cs="宋体"/>
                <w:kern w:val="0"/>
                <w:sz w:val="20"/>
                <w:szCs w:val="20"/>
              </w:rPr>
              <w:t>目标</w:t>
            </w:r>
          </w:p>
          <w:p>
            <w:pPr>
              <w:widowControl/>
              <w:contextualSpacing/>
              <w:jc w:val="center"/>
              <w:rPr>
                <w:rFonts w:ascii="宋体" w:hAnsi="宋体" w:cs="宋体"/>
                <w:kern w:val="0"/>
                <w:sz w:val="20"/>
                <w:szCs w:val="20"/>
              </w:rPr>
            </w:pPr>
            <w:r>
              <w:rPr>
                <w:rFonts w:hint="eastAsia" w:ascii="宋体" w:hAnsi="宋体" w:cs="宋体"/>
                <w:kern w:val="0"/>
                <w:sz w:val="20"/>
                <w:szCs w:val="20"/>
              </w:rPr>
              <w:t>完成</w:t>
            </w:r>
          </w:p>
          <w:p>
            <w:pPr>
              <w:widowControl/>
              <w:contextualSpacing/>
              <w:jc w:val="center"/>
              <w:rPr>
                <w:rFonts w:ascii="宋体" w:hAnsi="宋体" w:cs="宋体"/>
                <w:kern w:val="0"/>
                <w:sz w:val="20"/>
                <w:szCs w:val="20"/>
              </w:rPr>
            </w:pPr>
            <w:r>
              <w:rPr>
                <w:rFonts w:hint="eastAsia" w:ascii="宋体" w:hAnsi="宋体" w:cs="宋体"/>
                <w:kern w:val="0"/>
                <w:sz w:val="20"/>
                <w:szCs w:val="20"/>
              </w:rPr>
              <w:t>情况</w:t>
            </w:r>
          </w:p>
        </w:tc>
        <w:tc>
          <w:tcPr>
            <w:tcW w:w="4366" w:type="dxa"/>
            <w:gridSpan w:val="6"/>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预期目标</w:t>
            </w:r>
          </w:p>
        </w:tc>
        <w:tc>
          <w:tcPr>
            <w:tcW w:w="3377" w:type="dxa"/>
            <w:gridSpan w:val="3"/>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实际完成目标</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92" w:hRule="atLeast"/>
        </w:trPr>
        <w:tc>
          <w:tcPr>
            <w:tcW w:w="1046" w:type="dxa"/>
            <w:gridSpan w:val="2"/>
            <w:vMerge w:val="continue"/>
            <w:tcBorders>
              <w:left w:val="single" w:color="auto" w:sz="4" w:space="0"/>
              <w:right w:val="single" w:color="auto" w:sz="4" w:space="0"/>
            </w:tcBorders>
          </w:tcPr>
          <w:p>
            <w:pPr>
              <w:widowControl/>
              <w:contextualSpacing/>
              <w:jc w:val="left"/>
              <w:rPr>
                <w:rFonts w:ascii="宋体" w:hAnsi="宋体" w:cs="宋体"/>
                <w:kern w:val="0"/>
                <w:sz w:val="20"/>
                <w:szCs w:val="20"/>
              </w:rPr>
            </w:pPr>
          </w:p>
        </w:tc>
        <w:tc>
          <w:tcPr>
            <w:tcW w:w="436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rPr>
              <w:t>为提高政府采购及土地拍</w:t>
            </w:r>
            <w:r>
              <w:rPr>
                <w:rFonts w:hint="eastAsia" w:ascii="宋体" w:hAnsi="宋体" w:cs="宋体"/>
                <w:kern w:val="0"/>
                <w:sz w:val="20"/>
                <w:szCs w:val="20"/>
                <w:lang w:eastAsia="zh-CN"/>
              </w:rPr>
              <w:t>卖</w:t>
            </w:r>
            <w:r>
              <w:rPr>
                <w:rFonts w:hint="eastAsia" w:ascii="宋体" w:hAnsi="宋体" w:cs="宋体"/>
                <w:kern w:val="0"/>
                <w:sz w:val="20"/>
                <w:szCs w:val="20"/>
              </w:rPr>
              <w:t>、矿产出让规范性和高效性，以支付劳务费的方式，以期获更好的成绩。</w:t>
            </w:r>
          </w:p>
        </w:tc>
        <w:tc>
          <w:tcPr>
            <w:tcW w:w="3377" w:type="dxa"/>
            <w:gridSpan w:val="3"/>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rPr>
              <w:t>提高了政府采购及土地拍地、矿产出让规范性和高效性，顺利的完成了各政府采购采购项目</w:t>
            </w:r>
            <w:r>
              <w:rPr>
                <w:rFonts w:hint="eastAsia" w:ascii="宋体" w:hAnsi="宋体" w:cs="宋体"/>
                <w:kern w:val="0"/>
                <w:sz w:val="20"/>
                <w:szCs w:val="20"/>
                <w:lang w:eastAsia="zh-CN"/>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9" w:hRule="atLeast"/>
        </w:trPr>
        <w:tc>
          <w:tcPr>
            <w:tcW w:w="1046"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绩效</w:t>
            </w:r>
          </w:p>
          <w:p>
            <w:pPr>
              <w:widowControl/>
              <w:contextualSpacing/>
              <w:jc w:val="center"/>
              <w:rPr>
                <w:rFonts w:ascii="宋体" w:hAnsi="宋体" w:cs="宋体"/>
                <w:kern w:val="0"/>
                <w:sz w:val="20"/>
                <w:szCs w:val="20"/>
              </w:rPr>
            </w:pPr>
            <w:r>
              <w:rPr>
                <w:rFonts w:hint="eastAsia" w:ascii="宋体" w:hAnsi="宋体" w:cs="宋体"/>
                <w:kern w:val="0"/>
                <w:sz w:val="20"/>
                <w:szCs w:val="20"/>
              </w:rPr>
              <w:t>指标</w:t>
            </w:r>
          </w:p>
          <w:p>
            <w:pPr>
              <w:widowControl/>
              <w:contextualSpacing/>
              <w:jc w:val="center"/>
              <w:rPr>
                <w:rFonts w:ascii="宋体" w:hAnsi="宋体" w:cs="宋体"/>
                <w:kern w:val="0"/>
                <w:sz w:val="20"/>
                <w:szCs w:val="20"/>
              </w:rPr>
            </w:pPr>
            <w:r>
              <w:rPr>
                <w:rFonts w:hint="eastAsia" w:ascii="宋体" w:hAnsi="宋体" w:cs="宋体"/>
                <w:kern w:val="0"/>
                <w:sz w:val="20"/>
                <w:szCs w:val="20"/>
              </w:rPr>
              <w:t>完成</w:t>
            </w:r>
          </w:p>
          <w:p>
            <w:pPr>
              <w:widowControl/>
              <w:contextualSpacing/>
              <w:jc w:val="center"/>
              <w:rPr>
                <w:rFonts w:ascii="宋体" w:hAnsi="宋体" w:cs="宋体"/>
                <w:kern w:val="0"/>
                <w:sz w:val="20"/>
                <w:szCs w:val="20"/>
              </w:rPr>
            </w:pPr>
            <w:r>
              <w:rPr>
                <w:rFonts w:hint="eastAsia" w:ascii="宋体" w:hAnsi="宋体" w:cs="宋体"/>
                <w:kern w:val="0"/>
                <w:sz w:val="20"/>
                <w:szCs w:val="20"/>
              </w:rPr>
              <w:t>情况</w:t>
            </w:r>
          </w:p>
        </w:tc>
        <w:tc>
          <w:tcPr>
            <w:tcW w:w="1117"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一级</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二级指标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三级指标</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预期指标值</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实际完成指标值</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66"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项目</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数量指标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专家评审场次</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default" w:ascii="宋体" w:hAnsi="宋体" w:eastAsia="宋体" w:cs="宋体"/>
                <w:kern w:val="0"/>
                <w:sz w:val="20"/>
                <w:szCs w:val="20"/>
                <w:lang w:val="en-US" w:eastAsia="zh-CN"/>
              </w:rPr>
            </w:pPr>
            <w:r>
              <w:rPr>
                <w:rFonts w:hint="eastAsia" w:ascii="宋体" w:hAnsi="宋体" w:cs="宋体"/>
                <w:kern w:val="0"/>
                <w:sz w:val="20"/>
                <w:szCs w:val="20"/>
              </w:rPr>
              <w:t>≥</w:t>
            </w:r>
            <w:r>
              <w:rPr>
                <w:rFonts w:hint="eastAsia" w:ascii="宋体" w:hAnsi="宋体" w:cs="宋体"/>
                <w:kern w:val="0"/>
                <w:sz w:val="20"/>
                <w:szCs w:val="20"/>
                <w:lang w:val="en-US" w:eastAsia="zh-CN"/>
              </w:rPr>
              <w:t>140场</w:t>
            </w:r>
          </w:p>
        </w:tc>
        <w:tc>
          <w:tcPr>
            <w:tcW w:w="1827" w:type="dxa"/>
            <w:tcBorders>
              <w:left w:val="single" w:color="auto" w:sz="4" w:space="0"/>
              <w:right w:val="single" w:color="auto" w:sz="4" w:space="0"/>
            </w:tcBorders>
            <w:shd w:val="clear" w:color="auto" w:fill="auto"/>
            <w:vAlign w:val="center"/>
          </w:tcPr>
          <w:p>
            <w:pPr>
              <w:widowControl/>
              <w:contextualSpacing/>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123场</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6"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质量指标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规范招投业务评审费使用，提高使用质量，项目顺利开展</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保证公共资源交易项目顺利开展</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公共资源交易项目顺利开展</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4"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时效指标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完成时间</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2020年底</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val="en-US" w:eastAsia="zh-CN"/>
              </w:rPr>
              <w:t>2020年底</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4"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成本指标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lang w:eastAsia="zh-CN"/>
              </w:rPr>
            </w:pPr>
            <w:r>
              <w:rPr>
                <w:rFonts w:hint="eastAsia" w:ascii="宋体" w:hAnsi="宋体" w:cs="宋体"/>
                <w:kern w:val="0"/>
                <w:sz w:val="20"/>
                <w:szCs w:val="20"/>
                <w:lang w:eastAsia="zh-CN"/>
              </w:rPr>
              <w:t>成本测算</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default" w:ascii="宋体" w:hAnsi="宋体" w:cs="宋体"/>
                <w:kern w:val="0"/>
                <w:sz w:val="20"/>
                <w:szCs w:val="20"/>
                <w:lang w:val="en-US" w:eastAsia="zh-CN"/>
              </w:rPr>
            </w:pPr>
            <w:r>
              <w:rPr>
                <w:rFonts w:hint="eastAsia" w:ascii="宋体" w:hAnsi="宋体" w:cs="宋体"/>
                <w:kern w:val="0"/>
                <w:sz w:val="20"/>
                <w:szCs w:val="20"/>
                <w:lang w:eastAsia="zh-CN"/>
              </w:rPr>
              <w:t>小于等于</w:t>
            </w:r>
            <w:r>
              <w:rPr>
                <w:rFonts w:hint="eastAsia" w:ascii="宋体" w:hAnsi="宋体" w:cs="宋体"/>
                <w:kern w:val="0"/>
                <w:sz w:val="20"/>
                <w:szCs w:val="20"/>
                <w:lang w:val="en-US" w:eastAsia="zh-CN"/>
              </w:rPr>
              <w:t>90万</w:t>
            </w:r>
          </w:p>
        </w:tc>
        <w:tc>
          <w:tcPr>
            <w:tcW w:w="1827" w:type="dxa"/>
            <w:tcBorders>
              <w:left w:val="single" w:color="auto" w:sz="4" w:space="0"/>
              <w:right w:val="single" w:color="auto" w:sz="4" w:space="0"/>
            </w:tcBorders>
            <w:shd w:val="clear" w:color="auto" w:fill="auto"/>
            <w:vAlign w:val="center"/>
          </w:tcPr>
          <w:p>
            <w:pPr>
              <w:widowControl/>
              <w:contextualSpacing/>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73.16万</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34"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效益指标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节约社会成本</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公共资源交易招投标节约财政资金</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公共资源交易招投标节约财政资金</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15"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vMerge w:val="restart"/>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营造良好的社会投资发展环境</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营造公开、公平、公正的招投标环境</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营造公开、公平、公正的招投标环境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20"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vMerge w:val="continue"/>
            <w:tcBorders>
              <w:left w:val="single" w:color="auto" w:sz="4" w:space="0"/>
              <w:right w:val="single" w:color="auto" w:sz="4" w:space="0"/>
            </w:tcBorders>
            <w:shd w:val="clear" w:color="auto" w:fill="auto"/>
            <w:vAlign w:val="center"/>
          </w:tcPr>
          <w:p>
            <w:pPr>
              <w:widowControl/>
              <w:contextualSpacing/>
              <w:jc w:val="center"/>
              <w:rPr>
                <w:rFonts w:hint="eastAsia" w:ascii="宋体" w:hAnsi="宋体" w:eastAsia="宋体" w:cs="宋体"/>
                <w:kern w:val="0"/>
                <w:sz w:val="20"/>
                <w:szCs w:val="20"/>
                <w:lang w:eastAsia="zh-CN"/>
              </w:rPr>
            </w:pP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评审工作质量</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进一步提高</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进一步提高</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32"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可持续影响指标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工作顺利开展</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公共资源交易工作顺利开展</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lang w:eastAsia="zh-CN"/>
              </w:rPr>
              <w:t>公共资源交易工作顺利开展</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065" w:hRule="atLeast"/>
        </w:trPr>
        <w:tc>
          <w:tcPr>
            <w:tcW w:w="1046" w:type="dxa"/>
            <w:gridSpan w:val="2"/>
            <w:vMerge w:val="continue"/>
            <w:tcBorders>
              <w:left w:val="single" w:color="auto" w:sz="4" w:space="0"/>
              <w:right w:val="single" w:color="auto" w:sz="4" w:space="0"/>
            </w:tcBorders>
            <w:vAlign w:val="center"/>
          </w:tcPr>
          <w:p>
            <w:pPr>
              <w:widowControl/>
              <w:contextualSpacing/>
              <w:jc w:val="left"/>
              <w:rPr>
                <w:rFonts w:ascii="宋体" w:hAnsi="宋体" w:cs="宋体"/>
                <w:kern w:val="0"/>
                <w:sz w:val="20"/>
                <w:szCs w:val="20"/>
              </w:rPr>
            </w:pPr>
          </w:p>
        </w:tc>
        <w:tc>
          <w:tcPr>
            <w:tcW w:w="1117"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满意度</w:t>
            </w:r>
          </w:p>
          <w:p>
            <w:pPr>
              <w:widowControl/>
              <w:contextualSpacing/>
              <w:jc w:val="center"/>
              <w:rPr>
                <w:rFonts w:ascii="宋体" w:hAnsi="宋体" w:cs="宋体"/>
                <w:kern w:val="0"/>
                <w:sz w:val="20"/>
                <w:szCs w:val="20"/>
              </w:rPr>
            </w:pPr>
            <w:r>
              <w:rPr>
                <w:rFonts w:hint="eastAsia" w:ascii="宋体" w:hAnsi="宋体" w:cs="宋体"/>
                <w:kern w:val="0"/>
                <w:sz w:val="20"/>
                <w:szCs w:val="20"/>
              </w:rPr>
              <w:t>指标</w:t>
            </w:r>
          </w:p>
        </w:tc>
        <w:tc>
          <w:tcPr>
            <w:tcW w:w="1288" w:type="dxa"/>
            <w:gridSpan w:val="2"/>
            <w:tcBorders>
              <w:left w:val="single" w:color="auto" w:sz="4" w:space="0"/>
              <w:right w:val="single" w:color="auto" w:sz="4" w:space="0"/>
            </w:tcBorders>
            <w:shd w:val="clear" w:color="auto" w:fill="auto"/>
            <w:vAlign w:val="center"/>
          </w:tcPr>
          <w:p>
            <w:pPr>
              <w:widowControl/>
              <w:contextualSpacing/>
              <w:jc w:val="center"/>
              <w:rPr>
                <w:rFonts w:ascii="宋体" w:hAnsi="宋体" w:cs="宋体"/>
                <w:kern w:val="0"/>
                <w:sz w:val="20"/>
                <w:szCs w:val="20"/>
              </w:rPr>
            </w:pPr>
            <w:r>
              <w:rPr>
                <w:rFonts w:hint="eastAsia" w:ascii="宋体" w:hAnsi="宋体" w:cs="宋体"/>
                <w:kern w:val="0"/>
                <w:sz w:val="20"/>
                <w:szCs w:val="20"/>
              </w:rPr>
              <w:t>满意度指标</w:t>
            </w:r>
          </w:p>
        </w:tc>
        <w:tc>
          <w:tcPr>
            <w:tcW w:w="196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lang w:eastAsia="zh-CN"/>
              </w:rPr>
              <w:t>评审工作满意度</w:t>
            </w:r>
          </w:p>
        </w:tc>
        <w:tc>
          <w:tcPr>
            <w:tcW w:w="1550" w:type="dxa"/>
            <w:gridSpan w:val="2"/>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≥9</w:t>
            </w:r>
            <w:r>
              <w:rPr>
                <w:rFonts w:hint="eastAsia" w:ascii="宋体" w:hAnsi="宋体" w:cs="宋体"/>
                <w:kern w:val="0"/>
                <w:sz w:val="20"/>
                <w:szCs w:val="20"/>
                <w:lang w:val="en-US" w:eastAsia="zh-CN"/>
              </w:rPr>
              <w:t>5</w:t>
            </w:r>
            <w:r>
              <w:rPr>
                <w:rFonts w:hint="eastAsia" w:ascii="宋体" w:hAnsi="宋体" w:cs="宋体"/>
                <w:kern w:val="0"/>
                <w:sz w:val="20"/>
                <w:szCs w:val="20"/>
              </w:rPr>
              <w:t>%</w:t>
            </w:r>
          </w:p>
        </w:tc>
        <w:tc>
          <w:tcPr>
            <w:tcW w:w="1827" w:type="dxa"/>
            <w:tcBorders>
              <w:left w:val="single" w:color="auto" w:sz="4" w:space="0"/>
              <w:right w:val="single" w:color="auto" w:sz="4" w:space="0"/>
            </w:tcBorders>
            <w:shd w:val="clear" w:color="auto" w:fill="auto"/>
            <w:vAlign w:val="center"/>
          </w:tcPr>
          <w:p>
            <w:pPr>
              <w:widowControl/>
              <w:contextualSpacing/>
              <w:jc w:val="left"/>
              <w:rPr>
                <w:rFonts w:ascii="宋体" w:hAnsi="宋体" w:cs="宋体"/>
                <w:kern w:val="0"/>
                <w:sz w:val="20"/>
                <w:szCs w:val="20"/>
              </w:rPr>
            </w:pPr>
            <w:r>
              <w:rPr>
                <w:rFonts w:hint="eastAsia" w:ascii="宋体" w:hAnsi="宋体" w:cs="宋体"/>
                <w:kern w:val="0"/>
                <w:sz w:val="20"/>
                <w:szCs w:val="20"/>
              </w:rPr>
              <w:t>≥9</w:t>
            </w:r>
            <w:r>
              <w:rPr>
                <w:rFonts w:hint="eastAsia" w:ascii="宋体" w:hAnsi="宋体" w:cs="宋体"/>
                <w:kern w:val="0"/>
                <w:sz w:val="20"/>
                <w:szCs w:val="20"/>
                <w:lang w:val="en-US" w:eastAsia="zh-CN"/>
              </w:rPr>
              <w:t>5</w:t>
            </w:r>
            <w:r>
              <w:rPr>
                <w:rFonts w:hint="eastAsia" w:ascii="宋体" w:hAnsi="宋体" w:cs="宋体"/>
                <w:kern w:val="0"/>
                <w:sz w:val="20"/>
                <w:szCs w:val="20"/>
              </w:rPr>
              <w:t>%</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90" w:hRule="atLeast"/>
        </w:trPr>
        <w:tc>
          <w:tcPr>
            <w:tcW w:w="8789" w:type="dxa"/>
            <w:gridSpan w:val="11"/>
            <w:tcBorders>
              <w:bottom w:val="single" w:color="auto" w:sz="4" w:space="0"/>
            </w:tcBorders>
            <w:shd w:val="clear" w:color="auto" w:fill="auto"/>
            <w:vAlign w:val="center"/>
          </w:tcPr>
          <w:p>
            <w:pPr>
              <w:pStyle w:val="2"/>
              <w:rPr>
                <w:b/>
                <w:bCs/>
                <w:color w:val="000000"/>
                <w:kern w:val="0"/>
                <w:sz w:val="36"/>
                <w:szCs w:val="36"/>
                <w:lang w:bidi="ar"/>
              </w:rPr>
            </w:pPr>
          </w:p>
          <w:p>
            <w:pPr>
              <w:pStyle w:val="2"/>
              <w:rPr>
                <w:b/>
                <w:bCs/>
                <w:color w:val="000000"/>
                <w:kern w:val="0"/>
                <w:sz w:val="36"/>
                <w:szCs w:val="36"/>
                <w:lang w:bidi="ar"/>
              </w:rPr>
            </w:pPr>
          </w:p>
          <w:p>
            <w:pPr>
              <w:widowControl/>
              <w:spacing w:line="580" w:lineRule="atLeast"/>
              <w:jc w:val="center"/>
              <w:textAlignment w:val="center"/>
              <w:rPr>
                <w:rFonts w:hint="eastAsia" w:ascii="宋体" w:hAnsi="宋体" w:cs="宋体"/>
                <w:b/>
                <w:bCs/>
                <w:kern w:val="0"/>
                <w:sz w:val="32"/>
                <w:szCs w:val="32"/>
              </w:rPr>
            </w:pPr>
            <w:r>
              <w:rPr>
                <w:rFonts w:hint="eastAsia" w:ascii="宋体" w:hAnsi="宋体" w:cs="宋体"/>
                <w:b/>
                <w:bCs/>
                <w:kern w:val="0"/>
                <w:sz w:val="32"/>
                <w:szCs w:val="32"/>
              </w:rPr>
              <w:t>公共资源交易业务</w:t>
            </w:r>
            <w:r>
              <w:rPr>
                <w:rFonts w:hint="eastAsia" w:ascii="宋体" w:hAnsi="宋体" w:cs="宋体"/>
                <w:b/>
                <w:bCs/>
                <w:kern w:val="0"/>
                <w:sz w:val="32"/>
                <w:szCs w:val="32"/>
                <w:lang w:eastAsia="zh-CN"/>
              </w:rPr>
              <w:t>运行</w:t>
            </w:r>
            <w:r>
              <w:rPr>
                <w:rFonts w:hint="eastAsia" w:ascii="宋体" w:hAnsi="宋体" w:cs="宋体"/>
                <w:b/>
                <w:bCs/>
                <w:kern w:val="0"/>
                <w:sz w:val="32"/>
                <w:szCs w:val="32"/>
              </w:rPr>
              <w:t>费项目绩效目标完成情况表</w:t>
            </w:r>
          </w:p>
          <w:p>
            <w:pPr>
              <w:widowControl/>
              <w:spacing w:line="580" w:lineRule="atLeast"/>
              <w:jc w:val="center"/>
              <w:textAlignment w:val="center"/>
              <w:rPr>
                <w:rFonts w:ascii="宋体" w:hAnsi="宋体" w:cs="宋体"/>
                <w:b/>
                <w:bCs/>
                <w:kern w:val="0"/>
                <w:sz w:val="32"/>
                <w:szCs w:val="32"/>
              </w:rPr>
            </w:pPr>
            <w:r>
              <w:rPr>
                <w:color w:val="000000"/>
                <w:kern w:val="0"/>
                <w:sz w:val="36"/>
                <w:szCs w:val="36"/>
                <w:lang w:bidi="ar"/>
              </w:rPr>
              <w:t>(2020年度)</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7" w:hRule="atLeast"/>
        </w:trPr>
        <w:tc>
          <w:tcPr>
            <w:tcW w:w="2593" w:type="dxa"/>
            <w:gridSpan w:val="5"/>
            <w:tcBorders>
              <w:top w:val="single" w:color="auto"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项目名称</w:t>
            </w:r>
          </w:p>
        </w:tc>
        <w:tc>
          <w:tcPr>
            <w:tcW w:w="6196" w:type="dxa"/>
            <w:gridSpan w:val="6"/>
            <w:tcBorders>
              <w:top w:val="single" w:color="auto"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公共资源交易业务</w:t>
            </w:r>
            <w:r>
              <w:rPr>
                <w:rFonts w:hint="eastAsia" w:ascii="宋体" w:hAnsi="宋体" w:cs="宋体"/>
                <w:kern w:val="0"/>
                <w:sz w:val="20"/>
                <w:szCs w:val="20"/>
                <w:lang w:eastAsia="zh-CN"/>
              </w:rPr>
              <w:t>运行</w:t>
            </w:r>
            <w:r>
              <w:rPr>
                <w:rFonts w:hint="eastAsia" w:ascii="宋体" w:hAnsi="宋体" w:cs="宋体"/>
                <w:kern w:val="0"/>
                <w:sz w:val="20"/>
                <w:szCs w:val="20"/>
              </w:rPr>
              <w:t>费</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2593" w:type="dxa"/>
            <w:gridSpan w:val="5"/>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预算单位</w:t>
            </w:r>
          </w:p>
        </w:tc>
        <w:tc>
          <w:tcPr>
            <w:tcW w:w="619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泸</w:t>
            </w:r>
            <w:r>
              <w:rPr>
                <w:rFonts w:hint="eastAsia" w:ascii="宋体" w:hAnsi="宋体" w:cs="宋体"/>
                <w:kern w:val="0"/>
                <w:sz w:val="20"/>
                <w:szCs w:val="20"/>
                <w:lang w:val="en-US" w:eastAsia="zh-CN"/>
              </w:rPr>
              <w:t>县</w:t>
            </w:r>
            <w:r>
              <w:rPr>
                <w:rFonts w:hint="eastAsia" w:ascii="宋体" w:hAnsi="宋体" w:cs="宋体"/>
                <w:kern w:val="0"/>
                <w:sz w:val="20"/>
                <w:szCs w:val="20"/>
              </w:rPr>
              <w:t>公共资源交易中心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restart"/>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预算执行情况(万元)</w:t>
            </w:r>
          </w:p>
        </w:tc>
        <w:tc>
          <w:tcPr>
            <w:tcW w:w="205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预算数:</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22</w:t>
            </w:r>
            <w:r>
              <w:rPr>
                <w:rFonts w:hint="eastAsia" w:ascii="宋体" w:hAnsi="宋体" w:cs="宋体"/>
                <w:kern w:val="0"/>
                <w:sz w:val="20"/>
                <w:szCs w:val="20"/>
              </w:rPr>
              <w:t>万元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执行数:</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22</w:t>
            </w:r>
            <w:r>
              <w:rPr>
                <w:rFonts w:hint="eastAsia" w:ascii="宋体" w:hAnsi="宋体" w:cs="宋体"/>
                <w:kern w:val="0"/>
                <w:sz w:val="20"/>
                <w:szCs w:val="20"/>
              </w:rPr>
              <w:t>万元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continue"/>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p>
        </w:tc>
        <w:tc>
          <w:tcPr>
            <w:tcW w:w="205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其中-财政拨款:</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22</w:t>
            </w:r>
            <w:r>
              <w:rPr>
                <w:rFonts w:hint="eastAsia" w:ascii="宋体" w:hAnsi="宋体" w:cs="宋体"/>
                <w:kern w:val="0"/>
                <w:sz w:val="20"/>
                <w:szCs w:val="20"/>
              </w:rPr>
              <w:t>万元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其中-财政拨款:</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val="en-US" w:eastAsia="zh-CN"/>
              </w:rPr>
              <w:t>22</w:t>
            </w:r>
            <w:r>
              <w:rPr>
                <w:rFonts w:hint="eastAsia" w:ascii="宋体" w:hAnsi="宋体" w:cs="宋体"/>
                <w:kern w:val="0"/>
                <w:sz w:val="20"/>
                <w:szCs w:val="20"/>
              </w:rPr>
              <w:t>万元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205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其它资金:</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0</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其它资金:</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0</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restart"/>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年度目标完成情况</w:t>
            </w:r>
          </w:p>
        </w:tc>
        <w:tc>
          <w:tcPr>
            <w:tcW w:w="411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预期目标</w:t>
            </w:r>
          </w:p>
        </w:tc>
        <w:tc>
          <w:tcPr>
            <w:tcW w:w="413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实际完成目标</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3" w:hRule="atLeast"/>
        </w:trPr>
        <w:tc>
          <w:tcPr>
            <w:tcW w:w="536" w:type="dxa"/>
            <w:vMerge w:val="continue"/>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p>
        </w:tc>
        <w:tc>
          <w:tcPr>
            <w:tcW w:w="4116" w:type="dxa"/>
            <w:gridSpan w:val="6"/>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通过公共资源交易业务工作的实施，有序推进政府采购、工程建设、国有资产、土地与矿权、农村产权等相关业务工作；按各项公共资源交易活动相关时间节点规定，如期开展并完成相关工作；切实降低工作支出成本，推进全</w:t>
            </w:r>
            <w:r>
              <w:rPr>
                <w:rFonts w:hint="eastAsia" w:ascii="宋体" w:hAnsi="宋体" w:cs="宋体"/>
                <w:kern w:val="0"/>
                <w:sz w:val="20"/>
                <w:szCs w:val="20"/>
                <w:lang w:eastAsia="zh-CN"/>
              </w:rPr>
              <w:t>县</w:t>
            </w:r>
            <w:r>
              <w:rPr>
                <w:rFonts w:hint="eastAsia" w:ascii="宋体" w:hAnsi="宋体" w:cs="宋体"/>
                <w:kern w:val="0"/>
                <w:sz w:val="20"/>
                <w:szCs w:val="20"/>
              </w:rPr>
              <w:t>公共资源交易活动公正、有序、高效进行，提高各方交易主体对本平台功能满意度。</w:t>
            </w:r>
          </w:p>
          <w:p>
            <w:pPr>
              <w:widowControl/>
              <w:contextualSpacing/>
              <w:jc w:val="left"/>
              <w:rPr>
                <w:rFonts w:hint="eastAsia" w:ascii="宋体" w:hAnsi="宋体" w:cs="宋体"/>
                <w:kern w:val="0"/>
                <w:sz w:val="20"/>
                <w:szCs w:val="20"/>
              </w:rPr>
            </w:pPr>
          </w:p>
        </w:tc>
        <w:tc>
          <w:tcPr>
            <w:tcW w:w="4137" w:type="dxa"/>
            <w:gridSpan w:val="4"/>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2020年，</w:t>
            </w:r>
            <w:r>
              <w:rPr>
                <w:rFonts w:hint="eastAsia" w:ascii="宋体" w:hAnsi="宋体" w:cs="宋体"/>
                <w:kern w:val="0"/>
                <w:sz w:val="20"/>
                <w:szCs w:val="20"/>
                <w:lang w:eastAsia="zh-CN"/>
              </w:rPr>
              <w:t>泸县</w:t>
            </w:r>
            <w:r>
              <w:rPr>
                <w:rFonts w:hint="eastAsia" w:ascii="宋体" w:hAnsi="宋体" w:cs="宋体"/>
                <w:kern w:val="0"/>
                <w:sz w:val="20"/>
                <w:szCs w:val="20"/>
              </w:rPr>
              <w:t>公共资源交易中心成交项目</w:t>
            </w:r>
            <w:r>
              <w:rPr>
                <w:rFonts w:hint="eastAsia" w:ascii="宋体" w:hAnsi="宋体" w:cs="宋体"/>
                <w:kern w:val="0"/>
                <w:sz w:val="20"/>
                <w:szCs w:val="20"/>
                <w:lang w:val="en-US" w:eastAsia="zh-CN"/>
              </w:rPr>
              <w:t>274</w:t>
            </w:r>
            <w:r>
              <w:rPr>
                <w:rFonts w:hint="eastAsia" w:ascii="宋体" w:hAnsi="宋体" w:cs="宋体"/>
                <w:kern w:val="0"/>
                <w:sz w:val="20"/>
                <w:szCs w:val="20"/>
              </w:rPr>
              <w:t>宗，成交总额</w:t>
            </w:r>
            <w:r>
              <w:rPr>
                <w:rFonts w:hint="eastAsia" w:ascii="宋体" w:hAnsi="宋体" w:cs="宋体"/>
                <w:kern w:val="0"/>
                <w:sz w:val="20"/>
                <w:szCs w:val="20"/>
                <w:lang w:val="en-US" w:eastAsia="zh-CN"/>
              </w:rPr>
              <w:t>129042.92万</w:t>
            </w:r>
            <w:r>
              <w:rPr>
                <w:rFonts w:hint="eastAsia" w:ascii="宋体" w:hAnsi="宋体" w:cs="宋体"/>
                <w:kern w:val="0"/>
                <w:sz w:val="20"/>
                <w:szCs w:val="20"/>
              </w:rPr>
              <w:t>元。其中，政府采购项目</w:t>
            </w:r>
            <w:r>
              <w:rPr>
                <w:rFonts w:hint="eastAsia" w:ascii="宋体" w:hAnsi="宋体" w:cs="宋体"/>
                <w:kern w:val="0"/>
                <w:sz w:val="20"/>
                <w:szCs w:val="20"/>
                <w:lang w:val="en-US" w:eastAsia="zh-CN"/>
              </w:rPr>
              <w:t>56</w:t>
            </w:r>
            <w:r>
              <w:rPr>
                <w:rFonts w:hint="eastAsia" w:ascii="宋体" w:hAnsi="宋体" w:cs="宋体"/>
                <w:kern w:val="0"/>
                <w:sz w:val="20"/>
                <w:szCs w:val="20"/>
              </w:rPr>
              <w:t>宗，预算控制价</w:t>
            </w:r>
            <w:r>
              <w:rPr>
                <w:rFonts w:hint="eastAsia" w:ascii="宋体" w:hAnsi="宋体" w:cs="宋体"/>
                <w:kern w:val="0"/>
                <w:sz w:val="20"/>
                <w:szCs w:val="20"/>
                <w:lang w:val="en-US" w:eastAsia="zh-CN"/>
              </w:rPr>
              <w:t>7548.82万</w:t>
            </w:r>
            <w:r>
              <w:rPr>
                <w:rFonts w:hint="eastAsia" w:ascii="宋体" w:hAnsi="宋体" w:cs="宋体"/>
                <w:kern w:val="0"/>
                <w:sz w:val="20"/>
                <w:szCs w:val="20"/>
              </w:rPr>
              <w:t>元，成交金额</w:t>
            </w:r>
            <w:r>
              <w:rPr>
                <w:rFonts w:hint="eastAsia" w:ascii="宋体" w:hAnsi="宋体" w:cs="宋体"/>
                <w:kern w:val="0"/>
                <w:sz w:val="20"/>
                <w:szCs w:val="20"/>
                <w:lang w:val="en-US" w:eastAsia="zh-CN"/>
              </w:rPr>
              <w:t>7223.61</w:t>
            </w:r>
            <w:r>
              <w:rPr>
                <w:rFonts w:hint="eastAsia" w:ascii="宋体" w:hAnsi="宋体" w:cs="宋体"/>
                <w:kern w:val="0"/>
                <w:sz w:val="20"/>
                <w:szCs w:val="20"/>
              </w:rPr>
              <w:t>元，资金节约率</w:t>
            </w:r>
            <w:r>
              <w:rPr>
                <w:rFonts w:hint="eastAsia" w:ascii="宋体" w:hAnsi="宋体" w:cs="宋体"/>
                <w:kern w:val="0"/>
                <w:sz w:val="20"/>
                <w:szCs w:val="20"/>
                <w:lang w:val="en-US" w:eastAsia="zh-CN"/>
              </w:rPr>
              <w:t>4.5</w:t>
            </w:r>
            <w:r>
              <w:rPr>
                <w:rFonts w:hint="eastAsia" w:ascii="宋体" w:hAnsi="宋体" w:cs="宋体"/>
                <w:kern w:val="0"/>
                <w:sz w:val="20"/>
                <w:szCs w:val="20"/>
              </w:rPr>
              <w:t>%。另外，政府采购网上竞价项目成交</w:t>
            </w:r>
            <w:r>
              <w:rPr>
                <w:rFonts w:hint="eastAsia" w:ascii="宋体" w:hAnsi="宋体" w:cs="宋体"/>
                <w:kern w:val="0"/>
                <w:sz w:val="20"/>
                <w:szCs w:val="20"/>
                <w:lang w:val="en-US" w:eastAsia="zh-CN"/>
              </w:rPr>
              <w:t>108</w:t>
            </w:r>
            <w:r>
              <w:rPr>
                <w:rFonts w:hint="eastAsia" w:ascii="宋体" w:hAnsi="宋体" w:cs="宋体"/>
                <w:kern w:val="0"/>
                <w:sz w:val="20"/>
                <w:szCs w:val="20"/>
              </w:rPr>
              <w:t>宗，成交项目预算价</w:t>
            </w:r>
            <w:r>
              <w:rPr>
                <w:rFonts w:hint="eastAsia" w:ascii="宋体" w:hAnsi="宋体" w:cs="宋体"/>
                <w:kern w:val="0"/>
                <w:sz w:val="20"/>
                <w:szCs w:val="20"/>
                <w:lang w:val="en-US" w:eastAsia="zh-CN"/>
              </w:rPr>
              <w:t>599.91</w:t>
            </w:r>
            <w:r>
              <w:rPr>
                <w:rFonts w:hint="eastAsia" w:ascii="宋体" w:hAnsi="宋体" w:cs="宋体"/>
                <w:kern w:val="0"/>
                <w:sz w:val="20"/>
                <w:szCs w:val="20"/>
              </w:rPr>
              <w:t>万元，成交金额</w:t>
            </w:r>
            <w:r>
              <w:rPr>
                <w:rFonts w:hint="eastAsia" w:ascii="宋体" w:hAnsi="宋体" w:cs="宋体"/>
                <w:kern w:val="0"/>
                <w:sz w:val="20"/>
                <w:szCs w:val="20"/>
                <w:lang w:val="en-US" w:eastAsia="zh-CN"/>
              </w:rPr>
              <w:t>582.85</w:t>
            </w:r>
            <w:r>
              <w:rPr>
                <w:rFonts w:hint="eastAsia" w:ascii="宋体" w:hAnsi="宋体" w:cs="宋体"/>
                <w:kern w:val="0"/>
                <w:sz w:val="20"/>
                <w:szCs w:val="20"/>
              </w:rPr>
              <w:t>万元，资金节约率</w:t>
            </w:r>
            <w:r>
              <w:rPr>
                <w:rFonts w:hint="eastAsia" w:ascii="宋体" w:hAnsi="宋体" w:cs="宋体"/>
                <w:kern w:val="0"/>
                <w:sz w:val="20"/>
                <w:szCs w:val="20"/>
                <w:lang w:val="en-US" w:eastAsia="zh-CN"/>
              </w:rPr>
              <w:t>2.9</w:t>
            </w:r>
            <w:r>
              <w:rPr>
                <w:rFonts w:hint="eastAsia" w:ascii="宋体" w:hAnsi="宋体" w:cs="宋体"/>
                <w:kern w:val="0"/>
                <w:sz w:val="20"/>
                <w:szCs w:val="20"/>
              </w:rPr>
              <w:t>%；土地使用权出让</w:t>
            </w:r>
            <w:r>
              <w:rPr>
                <w:rFonts w:hint="eastAsia" w:ascii="宋体" w:hAnsi="宋体" w:cs="宋体"/>
                <w:kern w:val="0"/>
                <w:sz w:val="20"/>
                <w:szCs w:val="20"/>
                <w:lang w:val="en-US" w:eastAsia="zh-CN"/>
              </w:rPr>
              <w:t>29</w:t>
            </w:r>
            <w:r>
              <w:rPr>
                <w:rFonts w:hint="eastAsia" w:ascii="宋体" w:hAnsi="宋体" w:cs="宋体"/>
                <w:kern w:val="0"/>
                <w:sz w:val="20"/>
                <w:szCs w:val="20"/>
              </w:rPr>
              <w:t>宗，成交金额1</w:t>
            </w:r>
            <w:r>
              <w:rPr>
                <w:rFonts w:hint="eastAsia" w:ascii="宋体" w:hAnsi="宋体" w:cs="宋体"/>
                <w:kern w:val="0"/>
                <w:sz w:val="20"/>
                <w:szCs w:val="20"/>
                <w:lang w:val="en-US" w:eastAsia="zh-CN"/>
              </w:rPr>
              <w:t>10614.55万</w:t>
            </w:r>
            <w:r>
              <w:rPr>
                <w:rFonts w:hint="eastAsia" w:ascii="宋体" w:hAnsi="宋体" w:cs="宋体"/>
                <w:kern w:val="0"/>
                <w:sz w:val="20"/>
                <w:szCs w:val="20"/>
              </w:rPr>
              <w:t>元；采矿权出让</w:t>
            </w:r>
            <w:r>
              <w:rPr>
                <w:rFonts w:hint="eastAsia" w:ascii="宋体" w:hAnsi="宋体" w:cs="宋体"/>
                <w:kern w:val="0"/>
                <w:sz w:val="20"/>
                <w:szCs w:val="20"/>
                <w:lang w:val="en-US" w:eastAsia="zh-CN"/>
              </w:rPr>
              <w:t>1</w:t>
            </w:r>
            <w:r>
              <w:rPr>
                <w:rFonts w:hint="eastAsia" w:ascii="宋体" w:hAnsi="宋体" w:cs="宋体"/>
                <w:kern w:val="0"/>
                <w:sz w:val="20"/>
                <w:szCs w:val="20"/>
              </w:rPr>
              <w:t>宗，成交金额</w:t>
            </w:r>
            <w:r>
              <w:rPr>
                <w:rFonts w:hint="eastAsia" w:ascii="宋体" w:hAnsi="宋体" w:cs="宋体"/>
                <w:kern w:val="0"/>
                <w:sz w:val="20"/>
                <w:szCs w:val="20"/>
                <w:lang w:val="en-US" w:eastAsia="zh-CN"/>
              </w:rPr>
              <w:t>4720万</w:t>
            </w:r>
            <w:r>
              <w:rPr>
                <w:rFonts w:hint="eastAsia" w:ascii="宋体" w:hAnsi="宋体" w:cs="宋体"/>
                <w:kern w:val="0"/>
                <w:sz w:val="20"/>
                <w:szCs w:val="20"/>
              </w:rPr>
              <w:t>元；国有资产交易</w:t>
            </w:r>
            <w:r>
              <w:rPr>
                <w:rFonts w:hint="eastAsia" w:ascii="宋体" w:hAnsi="宋体" w:cs="宋体"/>
                <w:kern w:val="0"/>
                <w:sz w:val="20"/>
                <w:szCs w:val="20"/>
                <w:lang w:val="en-US" w:eastAsia="zh-CN"/>
              </w:rPr>
              <w:t>47</w:t>
            </w:r>
            <w:r>
              <w:rPr>
                <w:rFonts w:hint="eastAsia" w:ascii="宋体" w:hAnsi="宋体" w:cs="宋体"/>
                <w:kern w:val="0"/>
                <w:sz w:val="20"/>
                <w:szCs w:val="20"/>
              </w:rPr>
              <w:t>宗，成交金额</w:t>
            </w:r>
            <w:r>
              <w:rPr>
                <w:rFonts w:hint="eastAsia" w:ascii="宋体" w:hAnsi="宋体" w:cs="宋体"/>
                <w:kern w:val="0"/>
                <w:sz w:val="20"/>
                <w:szCs w:val="20"/>
                <w:lang w:val="en-US" w:eastAsia="zh-CN"/>
              </w:rPr>
              <w:t>461.32</w:t>
            </w:r>
            <w:r>
              <w:rPr>
                <w:rFonts w:hint="eastAsia" w:ascii="宋体" w:hAnsi="宋体" w:cs="宋体"/>
                <w:kern w:val="0"/>
                <w:sz w:val="20"/>
                <w:szCs w:val="20"/>
              </w:rPr>
              <w:t>万元</w:t>
            </w:r>
            <w:r>
              <w:rPr>
                <w:rFonts w:hint="eastAsia" w:ascii="宋体" w:hAnsi="宋体" w:cs="宋体"/>
                <w:kern w:val="0"/>
                <w:sz w:val="20"/>
                <w:szCs w:val="20"/>
                <w:lang w:eastAsia="zh-CN"/>
              </w:rPr>
              <w:t>；集体经营性建设用地交易</w:t>
            </w:r>
            <w:r>
              <w:rPr>
                <w:rFonts w:hint="eastAsia" w:ascii="宋体" w:hAnsi="宋体" w:cs="宋体"/>
                <w:kern w:val="0"/>
                <w:sz w:val="20"/>
                <w:szCs w:val="20"/>
                <w:lang w:val="en-US" w:eastAsia="zh-CN"/>
              </w:rPr>
              <w:t>33宗，成交金额5440.59万元。</w:t>
            </w:r>
            <w:r>
              <w:rPr>
                <w:rFonts w:hint="eastAsia" w:ascii="宋体" w:hAnsi="宋体" w:cs="宋体"/>
                <w:kern w:val="0"/>
                <w:sz w:val="20"/>
                <w:szCs w:val="20"/>
              </w:rPr>
              <w:t>2020年，</w:t>
            </w:r>
            <w:r>
              <w:rPr>
                <w:rFonts w:hint="eastAsia" w:ascii="宋体" w:hAnsi="宋体" w:cs="宋体"/>
                <w:kern w:val="0"/>
                <w:sz w:val="20"/>
                <w:szCs w:val="20"/>
                <w:lang w:eastAsia="zh-CN"/>
              </w:rPr>
              <w:t>泸县</w:t>
            </w:r>
            <w:r>
              <w:rPr>
                <w:rFonts w:hint="eastAsia" w:ascii="宋体" w:hAnsi="宋体" w:cs="宋体"/>
                <w:kern w:val="0"/>
                <w:sz w:val="20"/>
                <w:szCs w:val="20"/>
              </w:rPr>
              <w:t>公共资源交易中心成功创建</w:t>
            </w:r>
            <w:r>
              <w:rPr>
                <w:rFonts w:hint="eastAsia" w:ascii="宋体" w:hAnsi="宋体" w:cs="宋体"/>
                <w:kern w:val="0"/>
                <w:sz w:val="20"/>
                <w:szCs w:val="20"/>
                <w:lang w:eastAsia="zh-CN"/>
              </w:rPr>
              <w:t>四川省</w:t>
            </w:r>
            <w:r>
              <w:rPr>
                <w:rFonts w:hint="eastAsia" w:ascii="宋体" w:hAnsi="宋体" w:cs="宋体"/>
                <w:kern w:val="0"/>
                <w:sz w:val="20"/>
                <w:szCs w:val="20"/>
              </w:rPr>
              <w:t>“示范交易中心”。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52" w:hRule="atLeast"/>
        </w:trPr>
        <w:tc>
          <w:tcPr>
            <w:tcW w:w="536" w:type="dxa"/>
            <w:vMerge w:val="restart"/>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绩效指标完成情况</w:t>
            </w:r>
          </w:p>
        </w:tc>
        <w:tc>
          <w:tcPr>
            <w:tcW w:w="1172"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一级指标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二级指标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三级指标</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预期指标值(包含数字及文字描述)</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实际完成指标值(包含数字及文字描述)</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89" w:hRule="atLeast"/>
        </w:trPr>
        <w:tc>
          <w:tcPr>
            <w:tcW w:w="536" w:type="dxa"/>
            <w:vMerge w:val="continue"/>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数量</w:t>
            </w:r>
            <w:r>
              <w:rPr>
                <w:rFonts w:hint="eastAsia" w:ascii="宋体" w:hAnsi="宋体" w:cs="宋体"/>
                <w:kern w:val="0"/>
                <w:sz w:val="20"/>
                <w:szCs w:val="20"/>
                <w:lang w:val="en-US" w:eastAsia="zh-CN"/>
              </w:rPr>
              <w:t xml:space="preserve"> </w:t>
            </w:r>
            <w:r>
              <w:rPr>
                <w:rFonts w:hint="eastAsia" w:ascii="宋体" w:hAnsi="宋体" w:cs="宋体"/>
                <w:kern w:val="0"/>
                <w:sz w:val="20"/>
                <w:szCs w:val="20"/>
              </w:rPr>
              <w:t>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规范操作流程，提高办事效率。</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规范操作流程，提高办事效率。</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规范操作流程，提高办事效率。</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93" w:hRule="atLeas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质量</w:t>
            </w:r>
          </w:p>
          <w:p>
            <w:pPr>
              <w:widowControl/>
              <w:contextualSpacing/>
              <w:jc w:val="center"/>
              <w:rPr>
                <w:rFonts w:hint="eastAsia" w:ascii="宋体" w:hAnsi="宋体" w:cs="宋体"/>
                <w:kern w:val="0"/>
                <w:sz w:val="20"/>
                <w:szCs w:val="20"/>
              </w:rPr>
            </w:pPr>
            <w:r>
              <w:rPr>
                <w:rFonts w:hint="eastAsia" w:ascii="宋体" w:hAnsi="宋体" w:cs="宋体"/>
                <w:kern w:val="0"/>
                <w:sz w:val="20"/>
                <w:szCs w:val="20"/>
              </w:rPr>
              <w:t>指标</w:t>
            </w:r>
          </w:p>
        </w:tc>
        <w:tc>
          <w:tcPr>
            <w:tcW w:w="2059"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优质服务，高效服务，便捷服务。</w:t>
            </w:r>
          </w:p>
        </w:tc>
        <w:tc>
          <w:tcPr>
            <w:tcW w:w="2056"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优质服务，高效服务，便捷服务。</w:t>
            </w:r>
          </w:p>
        </w:tc>
        <w:tc>
          <w:tcPr>
            <w:tcW w:w="2081" w:type="dxa"/>
            <w:gridSpan w:val="2"/>
            <w:tcBorders>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优质服务，高效服务，便捷服务。</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536" w:type="dxa"/>
            <w:vMerge w:val="continue"/>
            <w:tcBorders>
              <w:left w:val="single" w:color="auto" w:sz="4" w:space="0"/>
              <w:right w:val="single" w:color="000000" w:sz="4" w:space="0"/>
            </w:tcBorders>
            <w:vAlign w:val="center"/>
          </w:tcPr>
          <w:p>
            <w:pPr>
              <w:widowControl/>
              <w:contextualSpacing/>
              <w:jc w:val="left"/>
              <w:rPr>
                <w:rFonts w:hint="eastAsia" w:ascii="宋体" w:hAnsi="宋体" w:cs="宋体"/>
                <w:kern w:val="0"/>
                <w:sz w:val="20"/>
                <w:szCs w:val="20"/>
              </w:rPr>
            </w:pPr>
          </w:p>
        </w:tc>
        <w:tc>
          <w:tcPr>
            <w:tcW w:w="1172" w:type="dxa"/>
            <w:gridSpan w:val="2"/>
            <w:tcBorders>
              <w:top w:val="single" w:color="000000" w:sz="4" w:space="0"/>
              <w:left w:val="single" w:color="000000" w:sz="4" w:space="0"/>
              <w:bottom w:val="single" w:color="000000"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时效</w:t>
            </w:r>
          </w:p>
          <w:p>
            <w:pPr>
              <w:widowControl/>
              <w:contextualSpacing/>
              <w:jc w:val="center"/>
              <w:rPr>
                <w:rFonts w:hint="eastAsia" w:ascii="宋体" w:hAnsi="宋体" w:cs="宋体"/>
                <w:kern w:val="0"/>
                <w:sz w:val="20"/>
                <w:szCs w:val="20"/>
              </w:rPr>
            </w:pPr>
            <w:r>
              <w:rPr>
                <w:rFonts w:hint="eastAsia" w:ascii="宋体" w:hAnsi="宋体" w:cs="宋体"/>
                <w:kern w:val="0"/>
                <w:sz w:val="20"/>
                <w:szCs w:val="20"/>
              </w:rPr>
              <w:t>指标</w:t>
            </w:r>
          </w:p>
        </w:tc>
        <w:tc>
          <w:tcPr>
            <w:tcW w:w="2059"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完成交易项目活动时间。</w:t>
            </w:r>
          </w:p>
        </w:tc>
        <w:tc>
          <w:tcPr>
            <w:tcW w:w="205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2020 年12月31日前。</w:t>
            </w:r>
          </w:p>
        </w:tc>
        <w:tc>
          <w:tcPr>
            <w:tcW w:w="2081"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2020 年 12月31日前。</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exac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top w:val="single" w:color="000000" w:sz="4" w:space="0"/>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成本</w:t>
            </w:r>
          </w:p>
          <w:p>
            <w:pPr>
              <w:widowControl/>
              <w:contextualSpacing/>
              <w:jc w:val="center"/>
              <w:rPr>
                <w:rFonts w:hint="eastAsia" w:ascii="宋体" w:hAnsi="宋体" w:cs="宋体"/>
                <w:kern w:val="0"/>
                <w:sz w:val="20"/>
                <w:szCs w:val="20"/>
              </w:rPr>
            </w:pPr>
            <w:r>
              <w:rPr>
                <w:rFonts w:hint="eastAsia" w:ascii="宋体" w:hAnsi="宋体" w:cs="宋体"/>
                <w:kern w:val="0"/>
                <w:sz w:val="20"/>
                <w:szCs w:val="20"/>
              </w:rPr>
              <w:t>指标</w:t>
            </w:r>
          </w:p>
        </w:tc>
        <w:tc>
          <w:tcPr>
            <w:tcW w:w="2059"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全年交易活动</w:t>
            </w:r>
            <w:r>
              <w:rPr>
                <w:rFonts w:hint="eastAsia" w:ascii="宋体" w:hAnsi="宋体" w:cs="宋体"/>
                <w:kern w:val="0"/>
                <w:sz w:val="20"/>
                <w:szCs w:val="20"/>
                <w:lang w:eastAsia="zh-CN"/>
              </w:rPr>
              <w:t>业务</w:t>
            </w:r>
            <w:r>
              <w:rPr>
                <w:rFonts w:hint="eastAsia" w:ascii="宋体" w:hAnsi="宋体" w:cs="宋体"/>
                <w:kern w:val="0"/>
                <w:sz w:val="20"/>
                <w:szCs w:val="20"/>
              </w:rPr>
              <w:t>费用</w:t>
            </w:r>
          </w:p>
        </w:tc>
        <w:tc>
          <w:tcPr>
            <w:tcW w:w="2056"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w:t>
            </w:r>
            <w:r>
              <w:rPr>
                <w:rFonts w:hint="eastAsia" w:ascii="宋体" w:hAnsi="宋体" w:cs="宋体"/>
                <w:kern w:val="0"/>
                <w:sz w:val="20"/>
                <w:szCs w:val="20"/>
                <w:lang w:eastAsia="zh-CN"/>
              </w:rPr>
              <w:t>22</w:t>
            </w:r>
            <w:r>
              <w:rPr>
                <w:rFonts w:hint="eastAsia" w:ascii="宋体" w:hAnsi="宋体" w:cs="宋体"/>
                <w:kern w:val="0"/>
                <w:sz w:val="20"/>
                <w:szCs w:val="20"/>
              </w:rPr>
              <w:t xml:space="preserve"> 万元</w:t>
            </w:r>
          </w:p>
        </w:tc>
        <w:tc>
          <w:tcPr>
            <w:tcW w:w="2081" w:type="dxa"/>
            <w:gridSpan w:val="2"/>
            <w:tcBorders>
              <w:top w:val="single" w:color="000000" w:sz="4" w:space="0"/>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lang w:eastAsia="zh-CN"/>
              </w:rPr>
              <w:t>22</w:t>
            </w:r>
            <w:r>
              <w:rPr>
                <w:rFonts w:hint="eastAsia" w:ascii="宋体" w:hAnsi="宋体" w:cs="宋体"/>
                <w:kern w:val="0"/>
                <w:sz w:val="20"/>
                <w:szCs w:val="20"/>
              </w:rPr>
              <w:t>万元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42" w:hRule="exac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社会效益指标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提高服务效率，营造良好的营商环境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提高服务效率，营造良好的营商环境</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提高服务效率，营造良好的营商环境</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12" w:hRule="exact"/>
        </w:trPr>
        <w:tc>
          <w:tcPr>
            <w:tcW w:w="536" w:type="dxa"/>
            <w:vMerge w:val="continue"/>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p>
        </w:tc>
        <w:tc>
          <w:tcPr>
            <w:tcW w:w="1172" w:type="dxa"/>
            <w:gridSpan w:val="2"/>
            <w:tcBorders>
              <w:left w:val="single" w:color="auto" w:sz="4" w:space="0"/>
              <w:right w:val="single" w:color="auto" w:sz="4" w:space="0"/>
            </w:tcBorders>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项目完成指标</w:t>
            </w:r>
          </w:p>
        </w:tc>
        <w:tc>
          <w:tcPr>
            <w:tcW w:w="885" w:type="dxa"/>
            <w:gridSpan w:val="2"/>
            <w:tcBorders>
              <w:left w:val="single" w:color="auto" w:sz="4" w:space="0"/>
              <w:right w:val="single" w:color="auto" w:sz="4" w:space="0"/>
            </w:tcBorders>
            <w:shd w:val="clear" w:color="auto" w:fill="auto"/>
            <w:vAlign w:val="center"/>
          </w:tcPr>
          <w:p>
            <w:pPr>
              <w:widowControl/>
              <w:contextualSpacing/>
              <w:jc w:val="center"/>
              <w:rPr>
                <w:rFonts w:hint="eastAsia" w:ascii="宋体" w:hAnsi="宋体" w:cs="宋体"/>
                <w:kern w:val="0"/>
                <w:sz w:val="20"/>
                <w:szCs w:val="20"/>
              </w:rPr>
            </w:pPr>
            <w:r>
              <w:rPr>
                <w:rFonts w:hint="eastAsia" w:ascii="宋体" w:hAnsi="宋体" w:cs="宋体"/>
                <w:kern w:val="0"/>
                <w:sz w:val="20"/>
                <w:szCs w:val="20"/>
              </w:rPr>
              <w:t>满意度指标</w:t>
            </w:r>
          </w:p>
        </w:tc>
        <w:tc>
          <w:tcPr>
            <w:tcW w:w="2059"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建成全</w:t>
            </w:r>
            <w:r>
              <w:rPr>
                <w:rFonts w:hint="eastAsia" w:ascii="宋体" w:hAnsi="宋体" w:cs="宋体"/>
                <w:kern w:val="0"/>
                <w:sz w:val="20"/>
                <w:szCs w:val="20"/>
                <w:lang w:eastAsia="zh-CN"/>
              </w:rPr>
              <w:t>省</w:t>
            </w:r>
            <w:r>
              <w:rPr>
                <w:rFonts w:hint="eastAsia" w:ascii="宋体" w:hAnsi="宋体" w:cs="宋体"/>
                <w:kern w:val="0"/>
                <w:sz w:val="20"/>
                <w:szCs w:val="20"/>
              </w:rPr>
              <w:t>标准化规范化</w:t>
            </w:r>
            <w:r>
              <w:rPr>
                <w:rFonts w:hint="eastAsia" w:ascii="宋体" w:hAnsi="宋体" w:cs="宋体"/>
                <w:kern w:val="0"/>
                <w:sz w:val="20"/>
                <w:szCs w:val="20"/>
                <w:lang w:eastAsia="zh-CN"/>
              </w:rPr>
              <w:t>建设</w:t>
            </w:r>
            <w:r>
              <w:rPr>
                <w:rFonts w:hint="eastAsia" w:ascii="宋体" w:hAnsi="宋体" w:cs="宋体"/>
                <w:kern w:val="0"/>
                <w:sz w:val="20"/>
                <w:szCs w:val="20"/>
              </w:rPr>
              <w:t>“示范交易中心”</w:t>
            </w:r>
          </w:p>
        </w:tc>
        <w:tc>
          <w:tcPr>
            <w:tcW w:w="2056"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cs="宋体"/>
                <w:kern w:val="0"/>
                <w:sz w:val="20"/>
                <w:szCs w:val="20"/>
              </w:rPr>
            </w:pPr>
            <w:r>
              <w:rPr>
                <w:rFonts w:hint="eastAsia" w:ascii="宋体" w:hAnsi="宋体" w:cs="宋体"/>
                <w:kern w:val="0"/>
                <w:sz w:val="20"/>
                <w:szCs w:val="20"/>
              </w:rPr>
              <w:t>建成全</w:t>
            </w:r>
            <w:r>
              <w:rPr>
                <w:rFonts w:hint="eastAsia" w:ascii="宋体" w:hAnsi="宋体" w:cs="宋体"/>
                <w:kern w:val="0"/>
                <w:sz w:val="20"/>
                <w:szCs w:val="20"/>
                <w:lang w:eastAsia="zh-CN"/>
              </w:rPr>
              <w:t>省</w:t>
            </w:r>
            <w:r>
              <w:rPr>
                <w:rFonts w:hint="eastAsia" w:ascii="宋体" w:hAnsi="宋体" w:cs="宋体"/>
                <w:kern w:val="0"/>
                <w:sz w:val="20"/>
                <w:szCs w:val="20"/>
              </w:rPr>
              <w:t>标准化规范化</w:t>
            </w:r>
            <w:r>
              <w:rPr>
                <w:rFonts w:hint="eastAsia" w:ascii="宋体" w:hAnsi="宋体" w:cs="宋体"/>
                <w:kern w:val="0"/>
                <w:sz w:val="20"/>
                <w:szCs w:val="20"/>
                <w:lang w:eastAsia="zh-CN"/>
              </w:rPr>
              <w:t>建设</w:t>
            </w:r>
            <w:r>
              <w:rPr>
                <w:rFonts w:hint="eastAsia" w:ascii="宋体" w:hAnsi="宋体" w:cs="宋体"/>
                <w:kern w:val="0"/>
                <w:sz w:val="20"/>
                <w:szCs w:val="20"/>
              </w:rPr>
              <w:t>“示范交易中心</w:t>
            </w:r>
            <w:r>
              <w:rPr>
                <w:rFonts w:hint="eastAsia" w:ascii="宋体" w:hAnsi="宋体" w:cs="宋体"/>
                <w:kern w:val="0"/>
                <w:sz w:val="20"/>
                <w:szCs w:val="20"/>
                <w:lang w:eastAsia="zh-CN"/>
              </w:rPr>
              <w:t>”</w:t>
            </w:r>
          </w:p>
        </w:tc>
        <w:tc>
          <w:tcPr>
            <w:tcW w:w="2081" w:type="dxa"/>
            <w:gridSpan w:val="2"/>
            <w:tcBorders>
              <w:left w:val="single" w:color="auto" w:sz="4" w:space="0"/>
              <w:right w:val="single" w:color="auto" w:sz="4" w:space="0"/>
            </w:tcBorders>
            <w:shd w:val="clear" w:color="auto" w:fill="auto"/>
            <w:vAlign w:val="center"/>
          </w:tcPr>
          <w:p>
            <w:pPr>
              <w:widowControl/>
              <w:contextualSpacing/>
              <w:jc w:val="left"/>
              <w:rPr>
                <w:rFonts w:hint="eastAsia" w:ascii="宋体" w:hAnsi="宋体" w:eastAsia="宋体" w:cs="宋体"/>
                <w:kern w:val="0"/>
                <w:sz w:val="20"/>
                <w:szCs w:val="20"/>
                <w:lang w:eastAsia="zh-CN"/>
              </w:rPr>
            </w:pPr>
            <w:r>
              <w:rPr>
                <w:rFonts w:hint="eastAsia" w:ascii="宋体" w:hAnsi="宋体" w:cs="宋体"/>
                <w:kern w:val="0"/>
                <w:sz w:val="20"/>
                <w:szCs w:val="20"/>
              </w:rPr>
              <w:t>建成全</w:t>
            </w:r>
            <w:r>
              <w:rPr>
                <w:rFonts w:hint="eastAsia" w:ascii="宋体" w:hAnsi="宋体" w:cs="宋体"/>
                <w:kern w:val="0"/>
                <w:sz w:val="20"/>
                <w:szCs w:val="20"/>
                <w:lang w:eastAsia="zh-CN"/>
              </w:rPr>
              <w:t>省</w:t>
            </w:r>
            <w:r>
              <w:rPr>
                <w:rFonts w:hint="eastAsia" w:ascii="宋体" w:hAnsi="宋体" w:cs="宋体"/>
                <w:kern w:val="0"/>
                <w:sz w:val="20"/>
                <w:szCs w:val="20"/>
              </w:rPr>
              <w:t>标准化规范化</w:t>
            </w:r>
            <w:r>
              <w:rPr>
                <w:rFonts w:hint="eastAsia" w:ascii="宋体" w:hAnsi="宋体" w:cs="宋体"/>
                <w:kern w:val="0"/>
                <w:sz w:val="20"/>
                <w:szCs w:val="20"/>
                <w:lang w:eastAsia="zh-CN"/>
              </w:rPr>
              <w:t>建设</w:t>
            </w:r>
            <w:r>
              <w:rPr>
                <w:rFonts w:hint="eastAsia" w:ascii="宋体" w:hAnsi="宋体" w:cs="宋体"/>
                <w:kern w:val="0"/>
                <w:sz w:val="20"/>
                <w:szCs w:val="20"/>
              </w:rPr>
              <w:t>“示范交易中心</w:t>
            </w:r>
            <w:r>
              <w:rPr>
                <w:rFonts w:hint="eastAsia" w:ascii="宋体" w:hAnsi="宋体" w:cs="宋体"/>
                <w:kern w:val="0"/>
                <w:sz w:val="20"/>
                <w:szCs w:val="20"/>
                <w:lang w:eastAsia="zh-CN"/>
              </w:rPr>
              <w:t>”</w:t>
            </w:r>
          </w:p>
        </w:tc>
      </w:tr>
    </w:tbl>
    <w:p>
      <w:pPr>
        <w:pStyle w:val="30"/>
        <w:ind w:firstLine="643" w:firstLineChars="200"/>
        <w:contextualSpacing/>
        <w:jc w:val="both"/>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2.部门绩效评价结果。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我中心按要求对2020年部门整体支出绩效评价情况开展自评，《</w:t>
      </w:r>
      <w:r>
        <w:rPr>
          <w:rFonts w:hint="eastAsia" w:ascii="仿宋" w:hAnsi="仿宋" w:eastAsia="仿宋"/>
          <w:color w:val="000000"/>
          <w:sz w:val="32"/>
          <w:szCs w:val="32"/>
          <w:lang w:eastAsia="zh-CN"/>
        </w:rPr>
        <w:t>泸县</w:t>
      </w:r>
      <w:r>
        <w:rPr>
          <w:rFonts w:hint="eastAsia" w:ascii="仿宋" w:hAnsi="仿宋" w:eastAsia="仿宋"/>
          <w:color w:val="000000"/>
          <w:sz w:val="32"/>
          <w:szCs w:val="32"/>
        </w:rPr>
        <w:t>公共资源交易中心2020年部门整体支出绩效评价报告》见附件（附件1）。</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本部门自行组织对专家评审费</w:t>
      </w:r>
      <w:r>
        <w:rPr>
          <w:rFonts w:hint="eastAsia" w:ascii="仿宋" w:hAnsi="仿宋" w:eastAsia="仿宋"/>
          <w:color w:val="000000"/>
          <w:sz w:val="32"/>
          <w:szCs w:val="32"/>
          <w:lang w:eastAsia="zh-CN"/>
        </w:rPr>
        <w:t>、</w:t>
      </w:r>
      <w:r>
        <w:rPr>
          <w:rFonts w:hint="eastAsia" w:ascii="仿宋" w:hAnsi="仿宋" w:eastAsia="仿宋"/>
          <w:color w:val="000000"/>
          <w:sz w:val="32"/>
          <w:szCs w:val="32"/>
        </w:rPr>
        <w:t>交易业务</w:t>
      </w:r>
      <w:r>
        <w:rPr>
          <w:rFonts w:hint="eastAsia" w:ascii="仿宋" w:hAnsi="仿宋" w:eastAsia="仿宋"/>
          <w:color w:val="000000"/>
          <w:sz w:val="32"/>
          <w:szCs w:val="32"/>
          <w:lang w:eastAsia="zh-CN"/>
        </w:rPr>
        <w:t>运行</w:t>
      </w:r>
      <w:r>
        <w:rPr>
          <w:rFonts w:hint="eastAsia" w:ascii="仿宋" w:hAnsi="仿宋" w:eastAsia="仿宋"/>
          <w:color w:val="000000"/>
          <w:sz w:val="32"/>
          <w:szCs w:val="32"/>
        </w:rPr>
        <w:t>费项目开展了绩效评价，《</w:t>
      </w:r>
      <w:r>
        <w:rPr>
          <w:rFonts w:hint="eastAsia" w:ascii="仿宋" w:hAnsi="仿宋" w:eastAsia="仿宋"/>
          <w:color w:val="000000"/>
          <w:sz w:val="32"/>
          <w:szCs w:val="32"/>
          <w:lang w:eastAsia="zh-CN"/>
        </w:rPr>
        <w:t>泸县</w:t>
      </w:r>
      <w:r>
        <w:rPr>
          <w:rFonts w:hint="eastAsia" w:ascii="仿宋" w:hAnsi="仿宋" w:eastAsia="仿宋"/>
          <w:color w:val="000000"/>
          <w:sz w:val="32"/>
          <w:szCs w:val="32"/>
        </w:rPr>
        <w:t>公共资源交易中心2020年绩效评价报告》见附件（附件2）。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37"/>
          <w:rFonts w:ascii="黑体" w:hAnsi="黑体" w:eastAsia="黑体"/>
          <w:b w:val="0"/>
        </w:rPr>
      </w:pPr>
      <w:bookmarkStart w:id="77" w:name="_Toc15396613"/>
      <w:bookmarkStart w:id="78" w:name="_Toc23752"/>
      <w:bookmarkStart w:id="79" w:name="_Toc15377225"/>
      <w:bookmarkStart w:id="80" w:name="_Toc3921"/>
      <w:r>
        <w:rPr>
          <w:rFonts w:hint="eastAsia" w:ascii="黑体" w:hAnsi="黑体" w:eastAsia="黑体"/>
          <w:color w:val="000000"/>
          <w:sz w:val="44"/>
          <w:szCs w:val="44"/>
        </w:rPr>
        <w:t>名</w:t>
      </w:r>
      <w:r>
        <w:rPr>
          <w:rStyle w:val="37"/>
          <w:rFonts w:hint="eastAsia" w:ascii="黑体" w:hAnsi="黑体" w:eastAsia="黑体"/>
          <w:b w:val="0"/>
        </w:rPr>
        <w:t>词解释</w:t>
      </w:r>
      <w:bookmarkEnd w:id="77"/>
      <w:bookmarkEnd w:id="78"/>
      <w:bookmarkEnd w:id="79"/>
      <w:bookmarkEnd w:id="80"/>
    </w:p>
    <w:p>
      <w:pPr>
        <w:spacing w:line="600" w:lineRule="exact"/>
        <w:jc w:val="left"/>
        <w:rPr>
          <w:rFonts w:ascii="宋体"/>
          <w:b/>
          <w:color w:val="000000"/>
          <w:sz w:val="44"/>
          <w:szCs w:val="44"/>
        </w:rPr>
      </w:pPr>
    </w:p>
    <w:p>
      <w:pPr>
        <w:pStyle w:val="30"/>
        <w:spacing w:line="560" w:lineRule="exact"/>
        <w:ind w:firstLine="640" w:firstLineChars="200"/>
        <w:rPr>
          <w:rFonts w:hAnsi="仿宋"/>
          <w:sz w:val="32"/>
          <w:szCs w:val="32"/>
        </w:rPr>
      </w:pPr>
      <w:bookmarkStart w:id="81" w:name="_Toc15377226"/>
      <w:r>
        <w:rPr>
          <w:rFonts w:hAnsi="仿宋"/>
          <w:sz w:val="32"/>
          <w:szCs w:val="32"/>
        </w:rPr>
        <w:t>1.</w:t>
      </w:r>
      <w:r>
        <w:rPr>
          <w:rFonts w:hint="eastAsia" w:hAnsi="仿宋"/>
          <w:sz w:val="32"/>
          <w:szCs w:val="32"/>
        </w:rPr>
        <w:t>财政拨款收入：指单位从同级财政部门取得的财政预算资金。</w:t>
      </w:r>
    </w:p>
    <w:p>
      <w:pPr>
        <w:pStyle w:val="30"/>
        <w:spacing w:line="560" w:lineRule="exact"/>
        <w:ind w:firstLine="640" w:firstLineChars="200"/>
        <w:rPr>
          <w:rFonts w:hAnsi="仿宋"/>
          <w:sz w:val="32"/>
          <w:szCs w:val="32"/>
        </w:rPr>
      </w:pPr>
      <w:r>
        <w:rPr>
          <w:rFonts w:hAnsi="仿宋"/>
          <w:sz w:val="32"/>
          <w:szCs w:val="32"/>
        </w:rPr>
        <w:t>2.</w:t>
      </w:r>
      <w:r>
        <w:rPr>
          <w:rFonts w:hint="eastAsia" w:hAnsi="仿宋"/>
          <w:sz w:val="32"/>
          <w:szCs w:val="32"/>
        </w:rPr>
        <w:t>事业收入：指事业单位开展专业业务活动及辅助活动取得的收入。如…（二级预算单位事业收入情况）等。</w:t>
      </w:r>
    </w:p>
    <w:p>
      <w:pPr>
        <w:pStyle w:val="30"/>
        <w:spacing w:line="560" w:lineRule="exact"/>
        <w:ind w:firstLine="640" w:firstLineChars="200"/>
        <w:rPr>
          <w:rFonts w:hAnsi="仿宋"/>
          <w:sz w:val="32"/>
          <w:szCs w:val="32"/>
        </w:rPr>
      </w:pPr>
      <w:r>
        <w:rPr>
          <w:rFonts w:hAnsi="仿宋"/>
          <w:sz w:val="32"/>
          <w:szCs w:val="32"/>
        </w:rPr>
        <w:t>3.</w:t>
      </w:r>
      <w:r>
        <w:rPr>
          <w:rFonts w:hint="eastAsia" w:hAnsi="仿宋"/>
          <w:sz w:val="32"/>
          <w:szCs w:val="32"/>
        </w:rPr>
        <w:t>经营收入：指事业单位在专业业务活动及其辅助活动之外开展非独立核算经营活动取得的收入。如…（二级预算单位经营收入情况）等。</w:t>
      </w:r>
    </w:p>
    <w:p>
      <w:pPr>
        <w:pStyle w:val="30"/>
        <w:spacing w:line="560" w:lineRule="exact"/>
        <w:ind w:firstLine="640" w:firstLineChars="200"/>
        <w:rPr>
          <w:rFonts w:hAnsi="仿宋"/>
          <w:sz w:val="32"/>
          <w:szCs w:val="32"/>
        </w:rPr>
      </w:pPr>
      <w:r>
        <w:rPr>
          <w:rFonts w:hAnsi="仿宋"/>
          <w:sz w:val="32"/>
          <w:szCs w:val="32"/>
        </w:rPr>
        <w:t>4.</w:t>
      </w:r>
      <w:r>
        <w:rPr>
          <w:rFonts w:hint="eastAsia" w:hAnsi="仿宋"/>
          <w:sz w:val="32"/>
          <w:szCs w:val="32"/>
        </w:rPr>
        <w:t>其他收入：指单位取得的除上述收入以外的各项收入。主要是…（收入类型）等。</w:t>
      </w:r>
      <w:r>
        <w:rPr>
          <w:rFonts w:hAnsi="仿宋"/>
          <w:sz w:val="32"/>
          <w:szCs w:val="32"/>
        </w:rPr>
        <w:t xml:space="preserve"> </w:t>
      </w:r>
    </w:p>
    <w:p>
      <w:pPr>
        <w:pStyle w:val="30"/>
        <w:spacing w:line="560" w:lineRule="exact"/>
        <w:ind w:firstLine="640" w:firstLineChars="200"/>
        <w:rPr>
          <w:rFonts w:hAnsi="仿宋"/>
          <w:sz w:val="32"/>
          <w:szCs w:val="32"/>
        </w:rPr>
      </w:pPr>
      <w:r>
        <w:rPr>
          <w:rFonts w:hAnsi="仿宋"/>
          <w:sz w:val="32"/>
          <w:szCs w:val="32"/>
        </w:rPr>
        <w:t>5.</w:t>
      </w:r>
      <w:r>
        <w:rPr>
          <w:rFonts w:hint="eastAsia" w:hAnsi="仿宋"/>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Ansi="仿宋"/>
          <w:sz w:val="32"/>
          <w:szCs w:val="32"/>
        </w:rPr>
        <w:t xml:space="preserve"> </w:t>
      </w:r>
    </w:p>
    <w:p>
      <w:pPr>
        <w:pStyle w:val="30"/>
        <w:spacing w:line="560" w:lineRule="exact"/>
        <w:ind w:firstLine="640" w:firstLineChars="200"/>
        <w:rPr>
          <w:rFonts w:hAnsi="仿宋"/>
          <w:sz w:val="32"/>
          <w:szCs w:val="32"/>
        </w:rPr>
      </w:pPr>
      <w:r>
        <w:rPr>
          <w:rFonts w:hAnsi="仿宋"/>
          <w:sz w:val="32"/>
          <w:szCs w:val="32"/>
        </w:rPr>
        <w:t>6.</w:t>
      </w:r>
      <w:r>
        <w:rPr>
          <w:rFonts w:hint="eastAsia" w:hAnsi="仿宋"/>
          <w:sz w:val="32"/>
          <w:szCs w:val="32"/>
        </w:rPr>
        <w:t>年初结转和结余：指以前年度尚未完成、结转到本年按有关规定继续使用的资金。</w:t>
      </w:r>
      <w:r>
        <w:rPr>
          <w:rFonts w:hAnsi="仿宋"/>
          <w:sz w:val="32"/>
          <w:szCs w:val="32"/>
        </w:rPr>
        <w:t xml:space="preserve"> </w:t>
      </w:r>
    </w:p>
    <w:p>
      <w:pPr>
        <w:pStyle w:val="30"/>
        <w:spacing w:line="560" w:lineRule="exact"/>
        <w:ind w:firstLine="640" w:firstLineChars="200"/>
        <w:rPr>
          <w:rFonts w:hAnsi="仿宋"/>
          <w:sz w:val="32"/>
          <w:szCs w:val="32"/>
        </w:rPr>
      </w:pPr>
      <w:r>
        <w:rPr>
          <w:rFonts w:hAnsi="仿宋"/>
          <w:sz w:val="32"/>
          <w:szCs w:val="32"/>
        </w:rPr>
        <w:t>7.</w:t>
      </w:r>
      <w:r>
        <w:rPr>
          <w:rFonts w:hint="eastAsia" w:hAnsi="仿宋"/>
          <w:sz w:val="32"/>
          <w:szCs w:val="32"/>
        </w:rPr>
        <w:t>结余分配：指事业单位按照事业单位会计制度的规定从非财政补助结余中分配的事业基金和职工福利基金等。</w:t>
      </w:r>
    </w:p>
    <w:p>
      <w:pPr>
        <w:pStyle w:val="30"/>
        <w:spacing w:line="560" w:lineRule="exact"/>
        <w:ind w:firstLine="640" w:firstLineChars="200"/>
        <w:rPr>
          <w:rFonts w:hAnsi="仿宋"/>
          <w:sz w:val="32"/>
          <w:szCs w:val="32"/>
        </w:rPr>
      </w:pPr>
      <w:r>
        <w:rPr>
          <w:rFonts w:hAnsi="仿宋"/>
          <w:sz w:val="32"/>
          <w:szCs w:val="32"/>
        </w:rPr>
        <w:t>8</w:t>
      </w:r>
      <w:r>
        <w:rPr>
          <w:rFonts w:hint="eastAsia" w:hAnsi="仿宋"/>
          <w:sz w:val="32"/>
          <w:szCs w:val="32"/>
        </w:rPr>
        <w:t>、年末结转和结余：指单位按有关规定结转到下年或以后年度继续使用的资金。</w:t>
      </w:r>
    </w:p>
    <w:p>
      <w:pPr>
        <w:ind w:firstLine="640" w:firstLineChars="200"/>
        <w:rPr>
          <w:rFonts w:ascii="仿宋" w:hAnsi="仿宋" w:eastAsia="仿宋"/>
          <w:color w:val="000000"/>
          <w:sz w:val="32"/>
          <w:szCs w:val="32"/>
        </w:rPr>
      </w:pPr>
      <w:r>
        <w:rPr>
          <w:rFonts w:ascii="仿宋" w:hAnsi="仿宋" w:eastAsia="仿宋"/>
          <w:color w:val="000000"/>
          <w:sz w:val="32"/>
          <w:szCs w:val="32"/>
        </w:rPr>
        <w:t>9.</w:t>
      </w:r>
      <w:r>
        <w:rPr>
          <w:rFonts w:hint="eastAsia" w:ascii="仿宋" w:hAnsi="仿宋" w:eastAsia="仿宋"/>
          <w:color w:val="000000"/>
          <w:sz w:val="32"/>
          <w:szCs w:val="32"/>
        </w:rPr>
        <w:t>一般公共服务（类）政府办公厅（室）及相关机构事务（款）一般行政管理事务（项）：指综合业务、预决算编审等未单独设置项级科目的专门性财政管理工作的项目支出。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10</w:t>
      </w:r>
      <w:r>
        <w:rPr>
          <w:rFonts w:ascii="仿宋" w:hAnsi="仿宋" w:eastAsia="仿宋"/>
          <w:color w:val="000000"/>
          <w:sz w:val="32"/>
          <w:szCs w:val="32"/>
        </w:rPr>
        <w:t>.</w:t>
      </w:r>
      <w:r>
        <w:rPr>
          <w:rFonts w:hint="eastAsia" w:ascii="仿宋" w:hAnsi="仿宋" w:eastAsia="仿宋"/>
          <w:color w:val="000000"/>
          <w:sz w:val="32"/>
          <w:szCs w:val="32"/>
        </w:rPr>
        <w:t>一般公共服务（类）政府办公厅（室）及相关机构事务（款）事业运行（项）：用于保障机构正常运行、开展日常工作的基本支出。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11</w:t>
      </w:r>
      <w:r>
        <w:rPr>
          <w:rFonts w:ascii="仿宋" w:hAnsi="仿宋" w:eastAsia="仿宋"/>
          <w:color w:val="000000"/>
          <w:sz w:val="32"/>
          <w:szCs w:val="32"/>
        </w:rPr>
        <w:t>.</w:t>
      </w:r>
      <w:r>
        <w:rPr>
          <w:rFonts w:hint="eastAsia" w:ascii="仿宋" w:hAnsi="仿宋" w:eastAsia="仿宋"/>
          <w:color w:val="000000"/>
          <w:sz w:val="32"/>
          <w:szCs w:val="32"/>
        </w:rPr>
        <w:t>一般公共服务（类）政府办公厅（室）及相关机构事务（款）其他政府办公厅（室）及相关事务支出（项）：用于保障专项支出等。</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12.社会保障和就业（类）行政事业单位离退休（款）事业单位离退休（项）：单位的离退休人员的支出。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13.社会保障和就业（类）行政事业单位离退休（款）机关事业单位基本养老保险缴费支出（项）：指单位实施养老保险制度由单位缴纳的养老保险费的支出。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14.社会保障和就业（类）行政事业单位离退休（款）机关事业单位职业年金缴费支出（项）：指部门实施养老保险制度由单位缴纳的职业年金的支出。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15.医疗卫生与计划生育（类）行政事业单位医疗（款）事业单位医疗（项）：指事业单位用于缴纳单位基本医疗保险支出。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16.医疗卫生与计划生育（类）行政事业单位医疗（款）公务员医疗补助（项）：单位用于中缴纳公务员医疗补助支出。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17</w:t>
      </w:r>
      <w:r>
        <w:rPr>
          <w:rFonts w:ascii="仿宋" w:hAnsi="仿宋" w:eastAsia="仿宋"/>
          <w:color w:val="000000"/>
          <w:sz w:val="32"/>
          <w:szCs w:val="32"/>
        </w:rPr>
        <w:t>.</w:t>
      </w:r>
      <w:r>
        <w:rPr>
          <w:rFonts w:hint="eastAsia" w:ascii="仿宋" w:hAnsi="仿宋" w:eastAsia="仿宋"/>
          <w:color w:val="000000"/>
          <w:sz w:val="32"/>
          <w:szCs w:val="32"/>
        </w:rPr>
        <w:t>住房保障（类）住房改革支出（款）住房公积金（项）：反映行政事业单位按规定为职工缴纳的住房公积金。。</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18</w:t>
      </w:r>
      <w:r>
        <w:rPr>
          <w:rFonts w:ascii="仿宋" w:hAnsi="仿宋" w:eastAsia="仿宋"/>
          <w:color w:val="000000"/>
          <w:sz w:val="32"/>
          <w:szCs w:val="32"/>
        </w:rPr>
        <w:t>.</w:t>
      </w:r>
      <w:r>
        <w:rPr>
          <w:rFonts w:hint="eastAsia" w:ascii="仿宋" w:hAnsi="仿宋" w:eastAsia="仿宋"/>
          <w:color w:val="000000"/>
          <w:sz w:val="32"/>
          <w:szCs w:val="32"/>
        </w:rPr>
        <w:t>基本支出：指为保障机构正常运转、完成日常工作任务发生的人员支出和公用支出。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19.项目支出：指在基本支出之外为完成特定行政任务和事发展目标所发生的支出。</w:t>
      </w:r>
      <w:r>
        <w:rPr>
          <w:rFonts w:ascii="仿宋" w:hAnsi="仿宋" w:eastAsia="仿宋"/>
          <w:color w:val="000000"/>
          <w:sz w:val="32"/>
          <w:szCs w:val="32"/>
        </w:rPr>
        <w:t xml:space="preserve"> </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ascii="仿宋" w:hAnsi="仿宋" w:eastAsia="仿宋"/>
          <w:color w:val="000000"/>
          <w:sz w:val="32"/>
          <w:szCs w:val="32"/>
        </w:rPr>
        <w:t>.</w:t>
      </w:r>
      <w:r>
        <w:rPr>
          <w:rFonts w:hint="eastAsia" w:ascii="仿宋" w:hAnsi="仿宋" w:eastAsia="仿宋"/>
          <w:color w:val="000000"/>
          <w:sz w:val="32"/>
          <w:szCs w:val="32"/>
        </w:rPr>
        <w:t>经营支出：指事业单位在专业业务活动及其辅助活动之开展非独立核算经营活动发生的支出。</w:t>
      </w:r>
    </w:p>
    <w:p>
      <w:pPr>
        <w:pStyle w:val="30"/>
        <w:spacing w:line="560" w:lineRule="exact"/>
        <w:ind w:firstLine="640" w:firstLineChars="200"/>
        <w:rPr>
          <w:rFonts w:hAnsi="仿宋"/>
          <w:sz w:val="32"/>
          <w:szCs w:val="32"/>
        </w:rPr>
      </w:pPr>
      <w:r>
        <w:rPr>
          <w:rFonts w:hint="eastAsia" w:hAnsi="仿宋"/>
          <w:sz w:val="32"/>
          <w:szCs w:val="32"/>
          <w:lang w:val="en-US" w:eastAsia="zh-CN"/>
        </w:rPr>
        <w:t>21</w:t>
      </w:r>
      <w:r>
        <w:rPr>
          <w:rFonts w:hAnsi="仿宋"/>
          <w:sz w:val="32"/>
          <w:szCs w:val="32"/>
        </w:rPr>
        <w:t>.</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883" w:firstLineChars="200"/>
        <w:rPr>
          <w:rFonts w:hint="eastAsia" w:ascii="仿宋" w:hAnsi="仿宋" w:eastAsia="仿宋"/>
          <w:color w:val="000000"/>
          <w:sz w:val="32"/>
          <w:szCs w:val="32"/>
        </w:rPr>
      </w:pPr>
      <w:r>
        <w:rPr>
          <w:rFonts w:ascii="宋体"/>
          <w:b/>
          <w:color w:val="000000"/>
          <w:sz w:val="44"/>
          <w:szCs w:val="44"/>
        </w:rPr>
        <w:br w:type="page"/>
      </w:r>
    </w:p>
    <w:p>
      <w:pPr>
        <w:pStyle w:val="3"/>
        <w:spacing w:before="0" w:after="0" w:line="240" w:lineRule="auto"/>
        <w:contextualSpacing/>
        <w:jc w:val="center"/>
        <w:rPr>
          <w:rStyle w:val="20"/>
          <w:rFonts w:eastAsia="黑体"/>
          <w:b/>
          <w:bCs w:val="0"/>
          <w:color w:val="FF0000"/>
        </w:rPr>
      </w:pPr>
      <w:bookmarkStart w:id="82" w:name="_Toc15396614"/>
      <w:bookmarkStart w:id="83" w:name="_Toc51763427"/>
      <w:bookmarkStart w:id="84" w:name="_Toc6351"/>
      <w:r>
        <w:rPr>
          <w:rFonts w:ascii="黑体" w:hAnsi="黑体" w:eastAsia="黑体"/>
          <w:b w:val="0"/>
          <w:bCs w:val="0"/>
        </w:rPr>
        <w:t>第四部分</w:t>
      </w:r>
      <w:r>
        <w:rPr>
          <w:rFonts w:hint="eastAsia" w:ascii="黑体" w:hAnsi="黑体" w:eastAsia="黑体"/>
          <w:b w:val="0"/>
          <w:bCs w:val="0"/>
        </w:rPr>
        <w:t xml:space="preserve"> </w:t>
      </w:r>
      <w:r>
        <w:rPr>
          <w:rFonts w:ascii="黑体" w:hAnsi="黑体" w:eastAsia="黑体"/>
          <w:b w:val="0"/>
          <w:bCs w:val="0"/>
        </w:rPr>
        <w:t>附件</w:t>
      </w:r>
      <w:bookmarkEnd w:id="82"/>
      <w:bookmarkEnd w:id="83"/>
      <w:bookmarkEnd w:id="84"/>
    </w:p>
    <w:p>
      <w:pPr>
        <w:spacing w:line="600" w:lineRule="exact"/>
        <w:jc w:val="left"/>
        <w:outlineLvl w:val="0"/>
        <w:rPr>
          <w:rFonts w:ascii="黑体" w:hAnsi="黑体" w:eastAsia="黑体" w:cs="黑体"/>
          <w:sz w:val="32"/>
          <w:szCs w:val="32"/>
        </w:rPr>
      </w:pPr>
      <w:bookmarkStart w:id="85" w:name="_Toc18757"/>
      <w:r>
        <w:rPr>
          <w:rFonts w:hint="eastAsia" w:ascii="黑体" w:hAnsi="黑体" w:eastAsia="黑体" w:cs="黑体"/>
          <w:sz w:val="32"/>
          <w:szCs w:val="32"/>
        </w:rPr>
        <w:t>附件</w:t>
      </w:r>
      <w:r>
        <w:rPr>
          <w:rFonts w:ascii="黑体" w:hAnsi="黑体" w:eastAsia="黑体" w:cs="黑体"/>
          <w:sz w:val="32"/>
          <w:szCs w:val="32"/>
        </w:rPr>
        <w:t>1</w:t>
      </w:r>
      <w:bookmarkEnd w:id="85"/>
    </w:p>
    <w:p>
      <w:pPr>
        <w:pStyle w:val="6"/>
        <w:ind w:left="0" w:leftChars="0" w:firstLine="0" w:firstLineChars="0"/>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2201" w:firstLineChars="500"/>
        <w:textAlignment w:val="auto"/>
        <w:rPr>
          <w:rFonts w:hint="eastAsia"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泸县公共资源交易中心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color w:val="000000"/>
          <w:sz w:val="44"/>
          <w:szCs w:val="44"/>
          <w:shd w:val="clear" w:color="auto" w:fill="FFFFFF"/>
        </w:rPr>
      </w:pPr>
      <w:r>
        <w:rPr>
          <w:rFonts w:hint="eastAsia" w:ascii="方正小标宋简体" w:hAnsi="方正小标宋简体" w:eastAsia="方正小标宋简体" w:cs="方正小标宋简体"/>
          <w:b/>
          <w:bCs/>
          <w:color w:val="000000"/>
          <w:sz w:val="44"/>
          <w:szCs w:val="44"/>
          <w:shd w:val="clear" w:color="auto" w:fill="FFFFFF"/>
        </w:rPr>
        <w:t>2020年部门</w:t>
      </w:r>
      <w:r>
        <w:rPr>
          <w:rFonts w:hint="eastAsia" w:ascii="方正小标宋简体" w:hAnsi="方正小标宋简体" w:eastAsia="方正小标宋简体" w:cs="方正小标宋简体"/>
          <w:b/>
          <w:bCs/>
          <w:color w:val="000000"/>
          <w:sz w:val="44"/>
          <w:szCs w:val="44"/>
          <w:shd w:val="clear" w:color="auto" w:fill="FFFFFF"/>
          <w:lang w:eastAsia="zh-CN"/>
        </w:rPr>
        <w:t>整体</w:t>
      </w:r>
      <w:r>
        <w:rPr>
          <w:rFonts w:hint="eastAsia" w:ascii="方正小标宋简体" w:hAnsi="方正小标宋简体" w:eastAsia="方正小标宋简体" w:cs="方正小标宋简体"/>
          <w:b/>
          <w:bCs/>
          <w:color w:val="000000"/>
          <w:sz w:val="44"/>
          <w:szCs w:val="44"/>
          <w:shd w:val="clear" w:color="auto" w:fill="FFFFFF"/>
        </w:rPr>
        <w:t>支出绩效</w:t>
      </w:r>
      <w:r>
        <w:rPr>
          <w:rFonts w:hint="eastAsia" w:ascii="方正小标宋简体" w:hAnsi="方正小标宋简体" w:eastAsia="方正小标宋简体" w:cs="方正小标宋简体"/>
          <w:b/>
          <w:bCs/>
          <w:color w:val="000000"/>
          <w:sz w:val="44"/>
          <w:szCs w:val="44"/>
          <w:shd w:val="clear" w:color="auto" w:fill="FFFFFF"/>
          <w:lang w:eastAsia="zh-CN"/>
        </w:rPr>
        <w:t>评价</w:t>
      </w:r>
      <w:r>
        <w:rPr>
          <w:rFonts w:hint="eastAsia" w:ascii="方正小标宋简体" w:hAnsi="方正小标宋简体" w:eastAsia="方正小标宋简体" w:cs="方正小标宋简体"/>
          <w:b/>
          <w:bCs/>
          <w:color w:val="000000"/>
          <w:sz w:val="44"/>
          <w:szCs w:val="44"/>
          <w:shd w:val="clear" w:color="auto" w:fill="FFFFFF"/>
        </w:rPr>
        <w:t>报告</w:t>
      </w:r>
    </w:p>
    <w:p>
      <w:pPr>
        <w:jc w:val="center"/>
        <w:rPr>
          <w:rFonts w:ascii="宋体" w:cs="宋体"/>
          <w:b/>
          <w:bCs/>
          <w:color w:val="000000"/>
          <w:sz w:val="45"/>
          <w:szCs w:val="45"/>
          <w:shd w:val="clear" w:color="auto" w:fill="FFFFFF"/>
        </w:rPr>
      </w:pPr>
    </w:p>
    <w:p>
      <w:pPr>
        <w:pStyle w:val="30"/>
        <w:ind w:firstLine="640" w:firstLineChars="200"/>
        <w:contextualSpacing/>
        <w:jc w:val="both"/>
        <w:rPr>
          <w:rFonts w:hint="eastAsia" w:ascii="Times New Roman" w:hAnsi="Times New Roman" w:eastAsia="仿宋_GB2312" w:cs="Times New Roman"/>
          <w:color w:val="auto"/>
          <w:sz w:val="32"/>
          <w:szCs w:val="32"/>
        </w:rPr>
      </w:pPr>
      <w:r>
        <w:rPr>
          <w:rStyle w:val="17"/>
          <w:rFonts w:hint="eastAsia" w:ascii="黑体" w:hAnsi="黑体" w:eastAsia="黑体" w:cs="黑体"/>
          <w:b w:val="0"/>
          <w:bCs w:val="0"/>
          <w:i w:val="0"/>
          <w:color w:val="000000"/>
          <w:kern w:val="0"/>
          <w:sz w:val="32"/>
          <w:szCs w:val="32"/>
          <w:shd w:val="clear" w:color="auto" w:fill="FFFFFF"/>
          <w:lang w:val="en-US" w:eastAsia="zh-CN"/>
        </w:rPr>
        <w:t>一、部门（单位）概况</w:t>
      </w:r>
      <w:r>
        <w:rPr>
          <w:rStyle w:val="17"/>
          <w:rFonts w:hint="eastAsia" w:ascii="黑体" w:hAnsi="黑体" w:eastAsia="黑体" w:cs="黑体"/>
          <w:b w:val="0"/>
          <w:bCs w:val="0"/>
          <w:i w:val="0"/>
          <w:color w:val="000000"/>
          <w:kern w:val="0"/>
          <w:sz w:val="32"/>
          <w:szCs w:val="32"/>
          <w:shd w:val="clear" w:color="auto" w:fill="FFFFFF"/>
          <w:lang w:val="en-US" w:eastAsia="zh-CN"/>
        </w:rPr>
        <w:br w:type="textWrapping"/>
      </w:r>
      <w:r>
        <w:rPr>
          <w:rStyle w:val="17"/>
          <w:rFonts w:hint="eastAsia" w:ascii="仿宋" w:hAnsi="仿宋" w:eastAsia="仿宋" w:cs="仿宋"/>
          <w:i w:val="0"/>
          <w:color w:val="000000"/>
          <w:kern w:val="0"/>
          <w:sz w:val="32"/>
          <w:szCs w:val="32"/>
          <w:shd w:val="clear" w:color="auto" w:fill="FFFFFF"/>
        </w:rPr>
        <w:t>　</w:t>
      </w:r>
      <w:r>
        <w:rPr>
          <w:rStyle w:val="17"/>
          <w:rFonts w:hint="eastAsia" w:ascii="楷体" w:hAnsi="楷体" w:eastAsia="楷体" w:cs="楷体"/>
          <w:i w:val="0"/>
          <w:color w:val="000000"/>
          <w:kern w:val="0"/>
          <w:sz w:val="32"/>
          <w:szCs w:val="32"/>
          <w:shd w:val="clear" w:color="auto" w:fill="FFFFFF"/>
        </w:rPr>
        <w:t xml:space="preserve"> </w:t>
      </w:r>
      <w:r>
        <w:rPr>
          <w:rStyle w:val="17"/>
          <w:rFonts w:hint="eastAsia" w:ascii="黑体" w:hAnsi="黑体" w:eastAsia="黑体" w:cs="黑体"/>
          <w:b w:val="0"/>
          <w:bCs w:val="0"/>
          <w:i w:val="0"/>
          <w:color w:val="000000"/>
          <w:kern w:val="0"/>
          <w:sz w:val="32"/>
          <w:szCs w:val="32"/>
          <w:shd w:val="clear" w:color="auto" w:fill="FFFFFF"/>
          <w:lang w:val="en-US" w:eastAsia="zh-CN" w:bidi="ar-SA"/>
        </w:rPr>
        <w:t>（一）机构组成。</w:t>
      </w:r>
    </w:p>
    <w:p>
      <w:pPr>
        <w:spacing w:line="580" w:lineRule="exact"/>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泸县公共资源交易中心成立于2011年8月，为一级预算单位，属全额拨款事业单位，无下属二级预算单位，内设办公室、工程采购股、资产地矿股、监审股。</w:t>
      </w:r>
    </w:p>
    <w:p>
      <w:pPr>
        <w:spacing w:line="580" w:lineRule="exact"/>
        <w:ind w:firstLine="640" w:firstLineChars="200"/>
        <w:rPr>
          <w:rStyle w:val="17"/>
          <w:rFonts w:hint="eastAsia" w:ascii="仿宋" w:hAnsi="仿宋" w:eastAsia="仿宋" w:cs="仿宋"/>
          <w:i w:val="0"/>
          <w:color w:val="000000"/>
          <w:kern w:val="0"/>
          <w:sz w:val="32"/>
          <w:szCs w:val="32"/>
          <w:shd w:val="clear" w:color="auto" w:fill="FFFFFF"/>
        </w:rPr>
      </w:pPr>
      <w:r>
        <w:rPr>
          <w:rFonts w:hint="eastAsia" w:ascii="仿宋" w:hAnsi="仿宋" w:eastAsia="仿宋" w:cs="仿宋"/>
          <w:color w:val="000000"/>
          <w:kern w:val="0"/>
          <w:sz w:val="32"/>
          <w:szCs w:val="32"/>
          <w:lang w:val="en-US" w:eastAsia="zh-CN" w:bidi="ar-SA"/>
        </w:rPr>
        <w:t>2017年11月，中共泸县县委机构编制委员会设立泸县政府采购中心，与泸县公共资源交易中心实行一个机构、两块牌子的管理方式。</w:t>
      </w:r>
      <w:r>
        <w:rPr>
          <w:rFonts w:hint="eastAsia" w:ascii="仿宋" w:hAnsi="仿宋" w:eastAsia="仿宋" w:cs="仿宋"/>
          <w:color w:val="000000"/>
          <w:kern w:val="0"/>
          <w:sz w:val="32"/>
          <w:szCs w:val="32"/>
          <w:lang w:val="en-US" w:eastAsia="zh-CN" w:bidi="ar-SA"/>
        </w:rPr>
        <w:br w:type="textWrapping"/>
      </w:r>
      <w:r>
        <w:rPr>
          <w:rStyle w:val="17"/>
          <w:rFonts w:hint="eastAsia" w:ascii="仿宋" w:hAnsi="仿宋" w:eastAsia="仿宋" w:cs="仿宋"/>
          <w:i w:val="0"/>
          <w:color w:val="000000"/>
          <w:kern w:val="0"/>
          <w:sz w:val="32"/>
          <w:szCs w:val="32"/>
          <w:shd w:val="clear" w:color="auto" w:fill="FFFFFF"/>
        </w:rPr>
        <w:t>　</w:t>
      </w:r>
      <w:r>
        <w:rPr>
          <w:rStyle w:val="17"/>
          <w:rFonts w:hint="eastAsia" w:ascii="楷体" w:hAnsi="楷体" w:eastAsia="楷体" w:cs="楷体"/>
          <w:i w:val="0"/>
          <w:color w:val="000000"/>
          <w:kern w:val="0"/>
          <w:sz w:val="32"/>
          <w:szCs w:val="32"/>
          <w:shd w:val="clear" w:color="auto" w:fill="FFFFFF"/>
        </w:rPr>
        <w:t xml:space="preserve"> </w:t>
      </w:r>
      <w:r>
        <w:rPr>
          <w:rStyle w:val="17"/>
          <w:rFonts w:hint="eastAsia" w:ascii="黑体" w:hAnsi="黑体" w:eastAsia="黑体" w:cs="黑体"/>
          <w:b w:val="0"/>
          <w:bCs w:val="0"/>
          <w:i w:val="0"/>
          <w:color w:val="000000"/>
          <w:kern w:val="0"/>
          <w:sz w:val="32"/>
          <w:szCs w:val="32"/>
          <w:shd w:val="clear" w:color="auto" w:fill="FFFFFF"/>
          <w:lang w:eastAsia="zh-CN"/>
        </w:rPr>
        <w:t>（二）机构职能。</w:t>
      </w:r>
      <w:r>
        <w:rPr>
          <w:rStyle w:val="17"/>
          <w:rFonts w:hint="eastAsia" w:ascii="仿宋" w:hAnsi="仿宋" w:eastAsia="仿宋" w:cs="仿宋"/>
          <w:i w:val="0"/>
          <w:color w:val="000000"/>
          <w:kern w:val="0"/>
          <w:sz w:val="32"/>
          <w:szCs w:val="32"/>
          <w:shd w:val="clear" w:color="auto" w:fill="FFFFFF"/>
        </w:rPr>
        <w:t>在全县公共资源集中进行市场化配置服务，集中履行县政府授权的全县公共资源交易职能。　　</w:t>
      </w:r>
      <w:r>
        <w:rPr>
          <w:rStyle w:val="17"/>
          <w:rFonts w:hint="eastAsia" w:ascii="仿宋" w:hAnsi="仿宋" w:eastAsia="仿宋" w:cs="仿宋"/>
          <w:i w:val="0"/>
          <w:color w:val="000000"/>
          <w:kern w:val="0"/>
          <w:sz w:val="32"/>
          <w:szCs w:val="32"/>
          <w:shd w:val="clear" w:color="auto" w:fill="FFFFFF"/>
        </w:rPr>
        <w:br w:type="textWrapping"/>
      </w:r>
      <w:r>
        <w:rPr>
          <w:rStyle w:val="17"/>
          <w:rFonts w:hint="eastAsia" w:ascii="仿宋" w:hAnsi="仿宋" w:eastAsia="仿宋" w:cs="仿宋"/>
          <w:i w:val="0"/>
          <w:color w:val="000000"/>
          <w:kern w:val="0"/>
          <w:sz w:val="32"/>
          <w:szCs w:val="32"/>
          <w:shd w:val="clear" w:color="auto" w:fill="FFFFFF"/>
        </w:rPr>
        <w:t>　</w:t>
      </w:r>
      <w:r>
        <w:rPr>
          <w:rStyle w:val="17"/>
          <w:rFonts w:hint="eastAsia" w:ascii="仿宋" w:hAnsi="仿宋" w:eastAsia="仿宋" w:cs="仿宋"/>
          <w:i w:val="0"/>
          <w:color w:val="000000"/>
          <w:kern w:val="0"/>
          <w:sz w:val="32"/>
          <w:szCs w:val="32"/>
          <w:shd w:val="clear" w:color="auto" w:fill="FFFFFF"/>
          <w:lang w:val="en-US" w:eastAsia="zh-CN"/>
        </w:rPr>
        <w:t xml:space="preserve"> </w:t>
      </w:r>
      <w:r>
        <w:rPr>
          <w:rStyle w:val="17"/>
          <w:rFonts w:hint="eastAsia" w:ascii="黑体" w:hAnsi="黑体" w:eastAsia="黑体" w:cs="黑体"/>
          <w:b w:val="0"/>
          <w:bCs w:val="0"/>
          <w:i w:val="0"/>
          <w:color w:val="000000"/>
          <w:kern w:val="0"/>
          <w:sz w:val="32"/>
          <w:szCs w:val="32"/>
          <w:shd w:val="clear" w:color="auto" w:fill="FFFFFF"/>
          <w:lang w:eastAsia="zh-CN"/>
        </w:rPr>
        <w:t>（三）人员概况。</w:t>
      </w:r>
      <w:r>
        <w:rPr>
          <w:rStyle w:val="17"/>
          <w:rFonts w:hint="eastAsia" w:ascii="仿宋" w:hAnsi="仿宋" w:eastAsia="仿宋" w:cs="仿宋"/>
          <w:i w:val="0"/>
          <w:color w:val="000000"/>
          <w:kern w:val="0"/>
          <w:sz w:val="32"/>
          <w:szCs w:val="32"/>
          <w:shd w:val="clear" w:color="auto" w:fill="FFFFFF"/>
        </w:rPr>
        <w:t>泸县公共资源交易中心核定人员编制19名。2020年末实有事业编制人员18人。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楷体" w:hAnsi="楷体" w:eastAsia="楷体" w:cs="楷体"/>
          <w:b w:val="0"/>
          <w:bCs w:val="0"/>
          <w:i w:val="0"/>
          <w:color w:val="000000"/>
          <w:kern w:val="0"/>
          <w:sz w:val="32"/>
          <w:szCs w:val="32"/>
          <w:shd w:val="clear" w:color="auto" w:fill="FFFFFF"/>
          <w:lang w:eastAsia="zh-CN"/>
        </w:rPr>
      </w:pPr>
      <w:r>
        <w:rPr>
          <w:rStyle w:val="17"/>
          <w:rFonts w:hint="eastAsia" w:ascii="黑体" w:hAnsi="黑体" w:eastAsia="黑体" w:cs="黑体"/>
          <w:b w:val="0"/>
          <w:bCs w:val="0"/>
          <w:i w:val="0"/>
          <w:color w:val="000000"/>
          <w:kern w:val="0"/>
          <w:sz w:val="32"/>
          <w:szCs w:val="32"/>
          <w:shd w:val="clear" w:color="auto" w:fill="FFFFFF"/>
          <w:lang w:eastAsia="zh-CN"/>
        </w:rPr>
        <w:t>二、部门财政资金收支情况</w:t>
      </w:r>
      <w:r>
        <w:rPr>
          <w:rStyle w:val="17"/>
          <w:rFonts w:hint="eastAsia" w:ascii="黑体" w:hAnsi="黑体" w:eastAsia="黑体" w:cs="黑体"/>
          <w:b w:val="0"/>
          <w:bCs w:val="0"/>
          <w:i w:val="0"/>
          <w:color w:val="000000"/>
          <w:kern w:val="0"/>
          <w:sz w:val="32"/>
          <w:szCs w:val="32"/>
          <w:shd w:val="clear" w:color="auto" w:fill="FFFFFF"/>
          <w:lang w:eastAsia="zh-CN"/>
        </w:rPr>
        <w:br w:type="textWrapping"/>
      </w:r>
      <w:r>
        <w:rPr>
          <w:rStyle w:val="17"/>
          <w:rFonts w:hint="eastAsia" w:ascii="仿宋" w:hAnsi="仿宋" w:eastAsia="仿宋" w:cs="仿宋"/>
          <w:i w:val="0"/>
          <w:color w:val="000000"/>
          <w:kern w:val="0"/>
          <w:sz w:val="32"/>
          <w:szCs w:val="32"/>
          <w:shd w:val="clear" w:color="auto" w:fill="FFFFFF"/>
        </w:rPr>
        <w:t xml:space="preserve">　 </w:t>
      </w:r>
      <w:r>
        <w:rPr>
          <w:rStyle w:val="17"/>
          <w:rFonts w:hint="eastAsia" w:ascii="黑体" w:hAnsi="黑体" w:eastAsia="黑体" w:cs="黑体"/>
          <w:b w:val="0"/>
          <w:bCs w:val="0"/>
          <w:i w:val="0"/>
          <w:color w:val="000000"/>
          <w:kern w:val="0"/>
          <w:sz w:val="32"/>
          <w:szCs w:val="32"/>
          <w:shd w:val="clear" w:color="auto" w:fill="FFFFFF"/>
          <w:lang w:eastAsia="zh-CN"/>
        </w:rPr>
        <w:t>（一）部门财政资金收入情况</w:t>
      </w:r>
    </w:p>
    <w:p>
      <w:pPr>
        <w:spacing w:line="580" w:lineRule="atLeast"/>
        <w:ind w:firstLine="640"/>
        <w:rPr>
          <w:rStyle w:val="17"/>
          <w:rFonts w:hint="eastAsia" w:ascii="仿宋" w:hAnsi="仿宋" w:eastAsia="仿宋" w:cs="仿宋"/>
          <w:i w:val="0"/>
          <w:color w:val="000000"/>
          <w:kern w:val="0"/>
          <w:sz w:val="32"/>
          <w:szCs w:val="32"/>
          <w:shd w:val="clear" w:color="auto" w:fill="FFFFFF"/>
        </w:rPr>
      </w:pPr>
      <w:r>
        <w:rPr>
          <w:rFonts w:hint="eastAsia" w:eastAsia="仿宋_GB2312"/>
          <w:color w:val="323232"/>
          <w:kern w:val="0"/>
          <w:sz w:val="32"/>
          <w:szCs w:val="32"/>
          <w:lang w:eastAsia="zh-CN"/>
        </w:rPr>
        <w:t>2020年本年收入合计</w:t>
      </w:r>
      <w:r>
        <w:rPr>
          <w:rFonts w:hint="eastAsia" w:eastAsia="仿宋_GB2312"/>
          <w:color w:val="323232"/>
          <w:kern w:val="0"/>
          <w:sz w:val="32"/>
          <w:szCs w:val="32"/>
          <w:lang w:val="en-US" w:eastAsia="zh-CN"/>
        </w:rPr>
        <w:t>322.01</w:t>
      </w:r>
      <w:r>
        <w:rPr>
          <w:rFonts w:hint="eastAsia" w:eastAsia="仿宋_GB2312"/>
          <w:color w:val="323232"/>
          <w:kern w:val="0"/>
          <w:sz w:val="32"/>
          <w:szCs w:val="32"/>
          <w:lang w:eastAsia="zh-CN"/>
        </w:rPr>
        <w:t>万元，其中：一般公共预算财政拨款收入</w:t>
      </w:r>
      <w:r>
        <w:rPr>
          <w:rFonts w:hint="eastAsia" w:eastAsia="仿宋_GB2312"/>
          <w:color w:val="323232"/>
          <w:kern w:val="0"/>
          <w:sz w:val="32"/>
          <w:szCs w:val="32"/>
          <w:lang w:val="en-US" w:eastAsia="zh-CN"/>
        </w:rPr>
        <w:t>322.01</w:t>
      </w:r>
      <w:r>
        <w:rPr>
          <w:rFonts w:hint="eastAsia" w:eastAsia="仿宋_GB2312"/>
          <w:color w:val="323232"/>
          <w:kern w:val="0"/>
          <w:sz w:val="32"/>
          <w:szCs w:val="32"/>
          <w:lang w:eastAsia="zh-CN"/>
        </w:rPr>
        <w:t>万元，占</w:t>
      </w:r>
      <w:r>
        <w:rPr>
          <w:rFonts w:hint="eastAsia" w:eastAsia="仿宋_GB2312"/>
          <w:color w:val="323232"/>
          <w:kern w:val="0"/>
          <w:sz w:val="32"/>
          <w:szCs w:val="32"/>
          <w:lang w:val="en-US" w:eastAsia="zh-CN"/>
        </w:rPr>
        <w:t>100</w:t>
      </w:r>
      <w:r>
        <w:rPr>
          <w:rFonts w:hint="eastAsia" w:eastAsia="仿宋_GB2312"/>
          <w:color w:val="323232"/>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eastAsia="zh-CN"/>
        </w:rPr>
      </w:pPr>
      <w:r>
        <w:rPr>
          <w:rStyle w:val="17"/>
          <w:rFonts w:hint="eastAsia" w:ascii="黑体" w:hAnsi="黑体" w:eastAsia="黑体" w:cs="黑体"/>
          <w:b w:val="0"/>
          <w:bCs w:val="0"/>
          <w:i w:val="0"/>
          <w:color w:val="000000"/>
          <w:kern w:val="0"/>
          <w:sz w:val="32"/>
          <w:szCs w:val="32"/>
          <w:shd w:val="clear" w:color="auto" w:fill="FFFFFF"/>
          <w:lang w:eastAsia="zh-CN"/>
        </w:rPr>
        <w:t>（二）部门财政资金支出情况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Style w:val="17"/>
          <w:rFonts w:hint="eastAsia" w:ascii="仿宋" w:hAnsi="仿宋" w:eastAsia="仿宋" w:cs="仿宋"/>
          <w:i w:val="0"/>
          <w:color w:val="000000"/>
          <w:kern w:val="0"/>
          <w:sz w:val="32"/>
          <w:szCs w:val="32"/>
          <w:shd w:val="clear" w:color="auto" w:fill="FFFFFF"/>
        </w:rPr>
        <w:t>2020年部门决算财政资金支出总额为423.20万元，其中：</w:t>
      </w:r>
      <w:r>
        <w:rPr>
          <w:rFonts w:hint="eastAsia" w:ascii="Times New Roman" w:hAnsi="Times New Roman" w:eastAsia="仿宋_GB2312" w:cs="Times New Roman"/>
          <w:color w:val="auto"/>
          <w:sz w:val="32"/>
          <w:szCs w:val="32"/>
        </w:rPr>
        <w:t>按功能分类，</w:t>
      </w:r>
      <w:r>
        <w:rPr>
          <w:rStyle w:val="17"/>
          <w:rFonts w:hint="eastAsia" w:ascii="仿宋" w:hAnsi="仿宋" w:eastAsia="仿宋" w:cs="仿宋"/>
          <w:i w:val="0"/>
          <w:color w:val="000000"/>
          <w:kern w:val="0"/>
          <w:sz w:val="32"/>
          <w:szCs w:val="32"/>
          <w:shd w:val="clear" w:color="auto" w:fill="FFFFFF"/>
        </w:rPr>
        <w:t>一般公共服务支出381.24万元、社会保障和就业支出18.14万元、事业单位医疗10.22万，住房保障支出13.6万元。</w:t>
      </w:r>
      <w:r>
        <w:rPr>
          <w:rFonts w:hint="eastAsia" w:ascii="Times New Roman" w:hAnsi="Times New Roman" w:eastAsia="仿宋_GB2312" w:cs="Times New Roman"/>
          <w:color w:val="auto"/>
          <w:sz w:val="32"/>
          <w:szCs w:val="32"/>
        </w:rPr>
        <w:t>按支出性质分类，</w:t>
      </w:r>
      <w:r>
        <w:rPr>
          <w:rFonts w:hint="eastAsia" w:eastAsia="仿宋_GB2312"/>
          <w:color w:val="323232"/>
          <w:kern w:val="0"/>
          <w:sz w:val="32"/>
          <w:szCs w:val="32"/>
          <w:lang w:eastAsia="zh-CN"/>
        </w:rPr>
        <w:t>基本支出2</w:t>
      </w:r>
      <w:r>
        <w:rPr>
          <w:rFonts w:hint="eastAsia" w:eastAsia="仿宋_GB2312"/>
          <w:color w:val="323232"/>
          <w:kern w:val="0"/>
          <w:sz w:val="32"/>
          <w:szCs w:val="32"/>
          <w:lang w:val="en-US" w:eastAsia="zh-CN"/>
        </w:rPr>
        <w:t>74.83</w:t>
      </w:r>
      <w:r>
        <w:rPr>
          <w:rFonts w:hint="eastAsia" w:eastAsia="仿宋_GB2312"/>
          <w:color w:val="323232"/>
          <w:kern w:val="0"/>
          <w:sz w:val="32"/>
          <w:szCs w:val="32"/>
          <w:lang w:eastAsia="zh-CN"/>
        </w:rPr>
        <w:t>万元，项目支出</w:t>
      </w:r>
      <w:r>
        <w:rPr>
          <w:rFonts w:hint="eastAsia" w:eastAsia="仿宋_GB2312"/>
          <w:color w:val="323232"/>
          <w:kern w:val="0"/>
          <w:sz w:val="32"/>
          <w:szCs w:val="32"/>
          <w:lang w:val="en-US" w:eastAsia="zh-CN"/>
        </w:rPr>
        <w:t>14</w:t>
      </w:r>
      <w:r>
        <w:rPr>
          <w:rFonts w:hint="eastAsia" w:eastAsia="仿宋_GB2312"/>
          <w:color w:val="323232"/>
          <w:kern w:val="0"/>
          <w:sz w:val="32"/>
          <w:szCs w:val="32"/>
          <w:lang w:eastAsia="zh-CN"/>
        </w:rPr>
        <w:t>8.</w:t>
      </w:r>
      <w:r>
        <w:rPr>
          <w:rFonts w:hint="eastAsia" w:eastAsia="仿宋_GB2312"/>
          <w:color w:val="323232"/>
          <w:kern w:val="0"/>
          <w:sz w:val="32"/>
          <w:szCs w:val="32"/>
          <w:lang w:val="en-US" w:eastAsia="zh-CN"/>
        </w:rPr>
        <w:t>37</w:t>
      </w:r>
      <w:r>
        <w:rPr>
          <w:rFonts w:hint="eastAsia" w:eastAsia="仿宋_GB2312"/>
          <w:color w:val="323232"/>
          <w:kern w:val="0"/>
          <w:sz w:val="32"/>
          <w:szCs w:val="32"/>
          <w:lang w:eastAsia="zh-CN"/>
        </w:rPr>
        <w:t>万元</w:t>
      </w:r>
      <w:r>
        <w:rPr>
          <w:rFonts w:hint="eastAsia" w:ascii="Times New Roman" w:hAnsi="Times New Roman" w:eastAsia="仿宋_GB2312" w:cs="Times New Roman"/>
          <w:color w:val="auto"/>
          <w:sz w:val="32"/>
          <w:szCs w:val="32"/>
        </w:rPr>
        <w:t>。</w:t>
      </w:r>
      <w:r>
        <w:rPr>
          <w:rStyle w:val="17"/>
          <w:rFonts w:hint="eastAsia" w:ascii="黑体" w:hAnsi="黑体" w:eastAsia="黑体" w:cs="黑体"/>
          <w:b w:val="0"/>
          <w:bCs w:val="0"/>
          <w:i w:val="0"/>
          <w:color w:val="000000"/>
          <w:kern w:val="0"/>
          <w:sz w:val="32"/>
          <w:szCs w:val="32"/>
          <w:shd w:val="clear" w:color="auto" w:fill="FFFFFF"/>
          <w:lang w:eastAsia="zh-CN"/>
        </w:rPr>
        <w:br w:type="textWrapping"/>
      </w:r>
      <w:r>
        <w:rPr>
          <w:rStyle w:val="17"/>
          <w:rFonts w:hint="eastAsia" w:ascii="黑体" w:hAnsi="黑体" w:eastAsia="黑体" w:cs="黑体"/>
          <w:b w:val="0"/>
          <w:bCs w:val="0"/>
          <w:i w:val="0"/>
          <w:color w:val="000000"/>
          <w:kern w:val="0"/>
          <w:sz w:val="32"/>
          <w:szCs w:val="32"/>
          <w:shd w:val="clear" w:color="auto" w:fill="FFFFFF"/>
          <w:lang w:eastAsia="zh-CN"/>
        </w:rPr>
        <w:t>　</w:t>
      </w:r>
      <w:r>
        <w:rPr>
          <w:rStyle w:val="17"/>
          <w:rFonts w:hint="eastAsia" w:ascii="黑体" w:hAnsi="黑体" w:eastAsia="黑体" w:cs="黑体"/>
          <w:b w:val="0"/>
          <w:bCs w:val="0"/>
          <w:i w:val="0"/>
          <w:color w:val="000000"/>
          <w:kern w:val="0"/>
          <w:sz w:val="32"/>
          <w:szCs w:val="32"/>
          <w:shd w:val="clear" w:color="auto" w:fill="FFFFFF"/>
          <w:lang w:val="en-US" w:eastAsia="zh-CN"/>
        </w:rPr>
        <w:t xml:space="preserve">  </w:t>
      </w:r>
      <w:r>
        <w:rPr>
          <w:rStyle w:val="17"/>
          <w:rFonts w:hint="eastAsia" w:ascii="黑体" w:hAnsi="黑体" w:eastAsia="黑体" w:cs="黑体"/>
          <w:b w:val="0"/>
          <w:bCs w:val="0"/>
          <w:i w:val="0"/>
          <w:color w:val="000000"/>
          <w:kern w:val="0"/>
          <w:sz w:val="32"/>
          <w:szCs w:val="32"/>
          <w:shd w:val="clear" w:color="auto" w:fill="FFFFFF"/>
          <w:lang w:eastAsia="zh-CN"/>
        </w:rPr>
        <w:t>三</w:t>
      </w:r>
      <w:r>
        <w:rPr>
          <w:rFonts w:hint="eastAsia" w:ascii="黑体" w:hAnsi="宋体" w:eastAsia="黑体" w:cs="宋体"/>
          <w:color w:val="000000"/>
          <w:kern w:val="0"/>
          <w:sz w:val="32"/>
          <w:szCs w:val="32"/>
          <w:shd w:val="clear" w:color="auto" w:fill="FFFFFF"/>
        </w:rPr>
        <w:t>、部门整体预算绩效管理情况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val="zh-CN" w:eastAsia="zh-CN"/>
        </w:rPr>
      </w:pPr>
      <w:r>
        <w:rPr>
          <w:rStyle w:val="17"/>
          <w:rFonts w:hint="eastAsia" w:ascii="黑体" w:hAnsi="黑体" w:eastAsia="黑体" w:cs="黑体"/>
          <w:b w:val="0"/>
          <w:bCs w:val="0"/>
          <w:i w:val="0"/>
          <w:color w:val="000000"/>
          <w:kern w:val="0"/>
          <w:sz w:val="32"/>
          <w:szCs w:val="32"/>
          <w:shd w:val="clear" w:color="auto" w:fill="FFFFFF"/>
          <w:lang w:val="zh-CN" w:eastAsia="zh-CN"/>
        </w:rPr>
        <w:t>（一）部门预算管理。</w:t>
      </w:r>
    </w:p>
    <w:p>
      <w:pPr>
        <w:widowControl/>
        <w:ind w:firstLine="620" w:firstLineChars="200"/>
        <w:jc w:val="left"/>
      </w:pPr>
      <w:r>
        <w:rPr>
          <w:rFonts w:eastAsia="仿宋_GB2312"/>
          <w:color w:val="000000"/>
          <w:kern w:val="0"/>
          <w:sz w:val="31"/>
          <w:szCs w:val="31"/>
          <w:lang w:bidi="ar"/>
        </w:rPr>
        <w:t xml:space="preserve">以预算编制为引领，以支出管理为核心，扎实做好预算工作。 </w:t>
      </w:r>
    </w:p>
    <w:p>
      <w:pPr>
        <w:widowControl/>
        <w:ind w:firstLine="620" w:firstLineChars="200"/>
        <w:jc w:val="left"/>
        <w:rPr>
          <w:rFonts w:eastAsia="仿宋_GB2312"/>
          <w:color w:val="000000"/>
          <w:kern w:val="0"/>
          <w:sz w:val="31"/>
          <w:szCs w:val="31"/>
          <w:lang w:bidi="ar"/>
        </w:rPr>
      </w:pPr>
      <w:r>
        <w:rPr>
          <w:rFonts w:eastAsia="仿宋_GB2312"/>
          <w:color w:val="000000"/>
          <w:kern w:val="0"/>
          <w:sz w:val="31"/>
          <w:szCs w:val="31"/>
          <w:lang w:bidi="ar"/>
        </w:rPr>
        <w:t>一是严格按照预算编制要求，认真贯彻落实中央、省委省政府关于“厉行节约”的一系列指示要求，提高精细化水平，确保预算编制的科学性和准确性。</w:t>
      </w:r>
    </w:p>
    <w:p>
      <w:pPr>
        <w:widowControl/>
        <w:ind w:firstLine="620" w:firstLineChars="200"/>
        <w:jc w:val="left"/>
      </w:pPr>
      <w:r>
        <w:rPr>
          <w:rFonts w:eastAsia="仿宋_GB2312"/>
          <w:color w:val="000000"/>
          <w:kern w:val="0"/>
          <w:sz w:val="31"/>
          <w:szCs w:val="31"/>
          <w:lang w:bidi="ar"/>
        </w:rPr>
        <w:t>二是加强支出进度管理，完善预算动态监控，主动作为，提前谋划，在完成一般性支出压减任务的情况下，确保了机关运行和重大项目的实施。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val="zh-CN" w:eastAsia="zh-CN"/>
        </w:rPr>
      </w:pPr>
      <w:r>
        <w:rPr>
          <w:rStyle w:val="17"/>
          <w:rFonts w:hint="eastAsia" w:ascii="黑体" w:hAnsi="黑体" w:eastAsia="黑体" w:cs="黑体"/>
          <w:b w:val="0"/>
          <w:bCs w:val="0"/>
          <w:i w:val="0"/>
          <w:color w:val="000000"/>
          <w:kern w:val="0"/>
          <w:sz w:val="32"/>
          <w:szCs w:val="32"/>
          <w:shd w:val="clear" w:color="auto" w:fill="FFFFFF"/>
          <w:lang w:val="zh-CN" w:eastAsia="zh-CN"/>
        </w:rPr>
        <w:t>（二）结果应用情况。</w:t>
      </w:r>
    </w:p>
    <w:p>
      <w:pPr>
        <w:widowControl/>
        <w:adjustRightInd w:val="0"/>
        <w:snapToGrid w:val="0"/>
        <w:spacing w:line="64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我中心对部门预算绩效管理工作开展情况认真进行了自查自评。绩效评价自查开展覆盖重点支出，将评价结果作为预算安排的重要依据，参照项目年度预算执行情况、根据执行情况调整次年项目支出需求，保障重点支出，调整支出结构，优化财政资金配置，不断强化绩效理念，推动我中心部门整体绩效管理水平不断提升。</w:t>
      </w:r>
    </w:p>
    <w:p>
      <w:pPr>
        <w:pStyle w:val="2"/>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val="zh-CN" w:eastAsia="zh-CN"/>
        </w:rPr>
      </w:pPr>
      <w:r>
        <w:rPr>
          <w:rStyle w:val="17"/>
          <w:rFonts w:hint="eastAsia" w:ascii="黑体" w:hAnsi="黑体" w:eastAsia="黑体" w:cs="黑体"/>
          <w:b w:val="0"/>
          <w:bCs w:val="0"/>
          <w:i w:val="0"/>
          <w:color w:val="000000"/>
          <w:kern w:val="0"/>
          <w:sz w:val="32"/>
          <w:szCs w:val="32"/>
          <w:shd w:val="clear" w:color="auto" w:fill="FFFFFF"/>
          <w:lang w:val="zh-CN" w:eastAsia="zh-CN"/>
        </w:rPr>
        <w:t>（一）评价结论。</w:t>
      </w:r>
    </w:p>
    <w:p>
      <w:pPr>
        <w:widowControl/>
        <w:adjustRightInd w:val="0"/>
        <w:snapToGrid w:val="0"/>
        <w:spacing w:line="640" w:lineRule="exact"/>
        <w:ind w:firstLine="720"/>
        <w:jc w:val="left"/>
        <w:rPr>
          <w:rFonts w:ascii="仿宋" w:hAnsi="仿宋" w:eastAsia="仿宋"/>
          <w:color w:val="000000"/>
          <w:sz w:val="32"/>
          <w:szCs w:val="32"/>
        </w:rPr>
      </w:pPr>
      <w:r>
        <w:rPr>
          <w:rFonts w:hint="eastAsia" w:ascii="仿宋" w:hAnsi="仿宋" w:eastAsia="仿宋"/>
          <w:color w:val="000000"/>
          <w:sz w:val="32"/>
          <w:szCs w:val="32"/>
        </w:rPr>
        <w:t>2020年我单位部门支出绩效评价工作自评为较好。总体来看，资金分配合理，项目实施有序，管理有章可循，支出合法合规，为保障和促进公共资源交易工作顺利开展发挥了重要作用。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val="zh-CN" w:eastAsia="zh-CN"/>
        </w:rPr>
      </w:pPr>
      <w:r>
        <w:rPr>
          <w:rStyle w:val="17"/>
          <w:rFonts w:hint="eastAsia" w:ascii="黑体" w:hAnsi="黑体" w:eastAsia="黑体" w:cs="黑体"/>
          <w:b w:val="0"/>
          <w:bCs w:val="0"/>
          <w:i w:val="0"/>
          <w:color w:val="000000"/>
          <w:kern w:val="0"/>
          <w:sz w:val="32"/>
          <w:szCs w:val="32"/>
          <w:shd w:val="clear" w:color="auto" w:fill="FFFFFF"/>
          <w:lang w:val="zh-CN" w:eastAsia="zh-CN"/>
        </w:rPr>
        <w:t>（二）存在问题。</w:t>
      </w:r>
    </w:p>
    <w:p>
      <w:pPr>
        <w:widowControl/>
        <w:ind w:firstLine="620" w:firstLineChars="200"/>
        <w:jc w:val="left"/>
      </w:pPr>
      <w:r>
        <w:rPr>
          <w:rFonts w:eastAsia="仿宋_GB2312"/>
          <w:color w:val="000000"/>
          <w:kern w:val="0"/>
          <w:sz w:val="31"/>
          <w:szCs w:val="31"/>
          <w:lang w:bidi="ar"/>
        </w:rPr>
        <w:t>个别项目实施进度稍缓，绩效管理信息支撑工作有待加强， 绩效评价的结果运用有待提高。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Style w:val="17"/>
          <w:rFonts w:hint="eastAsia" w:ascii="黑体" w:hAnsi="黑体" w:eastAsia="黑体" w:cs="黑体"/>
          <w:b w:val="0"/>
          <w:bCs w:val="0"/>
          <w:i w:val="0"/>
          <w:color w:val="000000"/>
          <w:kern w:val="0"/>
          <w:sz w:val="32"/>
          <w:szCs w:val="32"/>
          <w:shd w:val="clear" w:color="auto" w:fill="FFFFFF"/>
          <w:lang w:val="zh-CN" w:eastAsia="zh-CN"/>
        </w:rPr>
      </w:pPr>
      <w:r>
        <w:rPr>
          <w:rStyle w:val="17"/>
          <w:rFonts w:hint="eastAsia" w:ascii="黑体" w:hAnsi="黑体" w:eastAsia="黑体" w:cs="黑体"/>
          <w:b w:val="0"/>
          <w:bCs w:val="0"/>
          <w:i w:val="0"/>
          <w:color w:val="000000"/>
          <w:kern w:val="0"/>
          <w:sz w:val="32"/>
          <w:szCs w:val="32"/>
          <w:shd w:val="clear" w:color="auto" w:fill="FFFFFF"/>
          <w:lang w:val="zh-CN" w:eastAsia="zh-CN"/>
        </w:rPr>
        <w:t>（三）改进建议。</w:t>
      </w:r>
    </w:p>
    <w:p>
      <w:pPr>
        <w:widowControl/>
        <w:adjustRightInd w:val="0"/>
        <w:snapToGrid w:val="0"/>
        <w:spacing w:line="640" w:lineRule="exact"/>
        <w:ind w:firstLine="640" w:firstLineChars="200"/>
        <w:jc w:val="left"/>
        <w:rPr>
          <w:rFonts w:hint="eastAsia" w:ascii="仿宋" w:hAnsi="仿宋" w:eastAsia="仿宋"/>
          <w:color w:val="000000"/>
          <w:sz w:val="32"/>
          <w:szCs w:val="32"/>
        </w:rPr>
      </w:pPr>
      <w:r>
        <w:rPr>
          <w:rFonts w:hint="eastAsia" w:ascii="仿宋" w:hAnsi="仿宋" w:eastAsia="仿宋"/>
          <w:color w:val="000000"/>
          <w:sz w:val="32"/>
          <w:szCs w:val="32"/>
        </w:rPr>
        <w:t>中心将不断强化绩效管理意识，通过预算执行情况跟踪来推进绩效管理工作，并对发现的问题及时进行整改，将评价结果作为次年预算编制的重要依据，优化结构、完善相关办法、改进预算管理。</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专家评审</w:t>
      </w:r>
      <w:r>
        <w:rPr>
          <w:rFonts w:hint="eastAsia" w:ascii="方正小标宋简体" w:hAnsi="宋体" w:eastAsia="方正小标宋简体"/>
          <w:color w:val="000000"/>
          <w:kern w:val="0"/>
          <w:sz w:val="44"/>
          <w:szCs w:val="44"/>
        </w:rPr>
        <w:t>费</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2020年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spacing w:line="60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为进一步规范交易程序，提高评审工作质量，规范评审劳务报酬支付行为，维护采购人、采购代理机构和评审专家的合法权益，根据四川省财政厅《关于政府采购评审专家劳务报酬支付标准指导意见》（川财采〔2014〕8号）、泸州市财政局关于印发《泸州市政府采购评审专家劳务报酬支付办法的通知》（泸市采〔2014〕18号）、《泸州市人民政府关于进一步规范土地出让和交易管理的通知》（泸市府发〔2016〕29号）、《泸州市国土局关于落实泸州市本级土地矿权招拍挂主持人劳务费的函》相关规定，申报该项目资金。该资金用于县本级政府采购、国有土地、矿权、资产使用权出让、集体土地入市评审专家劳务费、招拍挂主持人劳务费、专家需求论证费、误餐费、外地专家的交通费、律师费用的用报酬支出。</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600" w:lineRule="exact"/>
        <w:ind w:firstLine="640" w:firstLineChars="20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2020年劳务费项目预算90万元,主要用于支付县本级政府采购、国有土地、矿权、资产使用权出让、集体土地入市评审专家劳务费。预计全年完成专家评审140场次以上，并建立公开透明的采购流程，做好采购人、投标人、评审专家满意度调查。加强资金管理，节约财政资金，保证项目资金使用到位，提高资金使用效率，形成相关报告，为政府决策提供依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30"/>
        <w:ind w:firstLine="643" w:firstLineChars="200"/>
        <w:contextualSpacing/>
        <w:jc w:val="both"/>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sz w:val="32"/>
          <w:szCs w:val="32"/>
        </w:rPr>
        <w:t>1.前期准备。</w:t>
      </w:r>
      <w:r>
        <w:rPr>
          <w:rFonts w:hint="eastAsia" w:ascii="仿宋" w:hAnsi="仿宋" w:eastAsia="仿宋" w:cs="Times New Roman"/>
          <w:color w:val="000000"/>
          <w:kern w:val="0"/>
          <w:sz w:val="32"/>
          <w:szCs w:val="32"/>
          <w:lang w:val="en-US" w:eastAsia="zh-CN" w:bidi="ar-SA"/>
        </w:rPr>
        <w:t>认真学习财政关于全面推行预算绩效管理的相关文件精神，研究绩效评价指标体系，准确把握工作要求，为扎实开展绩效评价打下良好基础。</w:t>
      </w:r>
    </w:p>
    <w:p>
      <w:pPr>
        <w:pStyle w:val="30"/>
        <w:ind w:firstLine="643" w:firstLineChars="200"/>
        <w:contextualSpacing/>
        <w:jc w:val="both"/>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sz w:val="32"/>
          <w:szCs w:val="32"/>
        </w:rPr>
        <w:t>2.组织实施。</w:t>
      </w:r>
      <w:r>
        <w:rPr>
          <w:rFonts w:hint="eastAsia" w:ascii="仿宋" w:hAnsi="仿宋" w:eastAsia="仿宋" w:cs="Times New Roman"/>
          <w:color w:val="000000"/>
          <w:kern w:val="0"/>
          <w:sz w:val="32"/>
          <w:szCs w:val="32"/>
          <w:lang w:val="en-US" w:eastAsia="zh-CN" w:bidi="ar-SA"/>
        </w:rPr>
        <w:t>针对绩效评价的相关要求，认真收集、核实评价基础数据，进行绩效自评，根据检查情况，撰写绩效自评报告。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spacing w:line="540" w:lineRule="exact"/>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年初经费预算90万元，按年度进行申报。资金及时批复到位。其符合资金管理办法等相关规定。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spacing w:line="540" w:lineRule="exact"/>
        <w:ind w:firstLine="643" w:firstLineChars="200"/>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1.资金计划。</w:t>
      </w:r>
      <w:r>
        <w:rPr>
          <w:rFonts w:hint="eastAsia" w:ascii="仿宋" w:hAnsi="仿宋" w:eastAsia="仿宋" w:cs="Times New Roman"/>
          <w:color w:val="000000"/>
          <w:kern w:val="0"/>
          <w:sz w:val="32"/>
          <w:szCs w:val="32"/>
          <w:lang w:val="en-US" w:eastAsia="zh-CN" w:bidi="ar-SA"/>
        </w:rPr>
        <w:t>该90万元为县财政资金。</w:t>
      </w:r>
    </w:p>
    <w:p>
      <w:pPr>
        <w:spacing w:line="540" w:lineRule="exact"/>
        <w:ind w:firstLine="643" w:firstLineChars="200"/>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2.资金到位。</w:t>
      </w:r>
      <w:r>
        <w:rPr>
          <w:rFonts w:hint="eastAsia" w:ascii="仿宋" w:hAnsi="仿宋" w:eastAsia="仿宋" w:cs="Times New Roman"/>
          <w:color w:val="000000"/>
          <w:kern w:val="0"/>
          <w:sz w:val="32"/>
          <w:szCs w:val="32"/>
          <w:lang w:val="en-US" w:eastAsia="zh-CN" w:bidi="ar-SA"/>
        </w:rPr>
        <w:t>截止2020年12月，所有计划资金全部到位，共计90万元。</w:t>
      </w:r>
    </w:p>
    <w:p>
      <w:pPr>
        <w:spacing w:line="540" w:lineRule="exact"/>
        <w:ind w:firstLine="643" w:firstLineChars="200"/>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kern w:val="0"/>
          <w:sz w:val="32"/>
          <w:szCs w:val="32"/>
          <w:lang w:val="en-US" w:eastAsia="zh-CN" w:bidi="ar-SA"/>
        </w:rPr>
        <w:t>3.资金使用。</w:t>
      </w:r>
      <w:r>
        <w:rPr>
          <w:rFonts w:hint="eastAsia" w:ascii="仿宋" w:hAnsi="仿宋" w:eastAsia="仿宋" w:cs="Times New Roman"/>
          <w:color w:val="000000"/>
          <w:kern w:val="0"/>
          <w:sz w:val="32"/>
          <w:szCs w:val="32"/>
          <w:lang w:val="en-US" w:eastAsia="zh-CN" w:bidi="ar-SA"/>
        </w:rPr>
        <w:t>截止2020年12月底，劳务费支出，共计73.16万元，主要用于：专家需求论证费、专家评标费、土地招拍挂主持人劳务费、误餐费、外地专家的交通费、律师费用。</w:t>
      </w:r>
    </w:p>
    <w:p>
      <w:pPr>
        <w:adjustRightInd w:val="0"/>
        <w:snapToGrid w:val="0"/>
        <w:spacing w:line="600" w:lineRule="exact"/>
        <w:ind w:firstLine="720"/>
        <w:rPr>
          <w:rFonts w:ascii="仿宋_GB2312" w:hAnsi="宋体" w:eastAsia="仿宋_GB2312"/>
          <w:b/>
          <w:sz w:val="32"/>
          <w:szCs w:val="32"/>
          <w:lang w:val="zh-CN"/>
        </w:rPr>
      </w:pPr>
      <w:r>
        <w:rPr>
          <w:rFonts w:hint="eastAsia" w:ascii="仿宋_GB2312" w:hAnsi="宋体" w:eastAsia="仿宋_GB2312"/>
          <w:b/>
          <w:sz w:val="32"/>
          <w:szCs w:val="32"/>
          <w:lang w:val="zh-CN"/>
        </w:rPr>
        <w:t>（三）项目财务管理情况。</w:t>
      </w:r>
    </w:p>
    <w:p>
      <w:pPr>
        <w:adjustRightInd w:val="0"/>
        <w:snapToGrid w:val="0"/>
        <w:spacing w:line="600" w:lineRule="exact"/>
        <w:ind w:firstLine="72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严格按照项目资金管理办法对资金进行计划申请、划拨、使用，及时、规范对收支进行账务处理和会计核算。</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630" w:firstLineChars="196"/>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540" w:lineRule="exact"/>
        <w:ind w:left="720"/>
        <w:rPr>
          <w:rFonts w:ascii="仿宋_GB2312" w:eastAsia="仿宋_GB2312"/>
          <w:sz w:val="32"/>
          <w:szCs w:val="32"/>
        </w:rPr>
      </w:pPr>
      <w:r>
        <w:rPr>
          <w:rFonts w:hint="eastAsia" w:ascii="仿宋_GB2312" w:eastAsia="仿宋_GB2312"/>
          <w:sz w:val="32"/>
          <w:szCs w:val="32"/>
        </w:rPr>
        <w:t>成立项目工作领导小组。</w:t>
      </w:r>
    </w:p>
    <w:p>
      <w:pPr>
        <w:spacing w:line="540" w:lineRule="exact"/>
        <w:ind w:firstLine="800" w:firstLineChars="250"/>
        <w:rPr>
          <w:rFonts w:hint="eastAsia" w:ascii="仿宋_GB2312" w:eastAsia="仿宋_GB2312"/>
          <w:sz w:val="32"/>
          <w:szCs w:val="32"/>
        </w:rPr>
      </w:pPr>
      <w:r>
        <w:rPr>
          <w:rFonts w:hint="eastAsia" w:ascii="仿宋_GB2312" w:eastAsia="仿宋_GB2312"/>
          <w:sz w:val="32"/>
          <w:szCs w:val="32"/>
        </w:rPr>
        <w:t>组 长：主任</w:t>
      </w:r>
    </w:p>
    <w:p>
      <w:pPr>
        <w:spacing w:line="540" w:lineRule="exact"/>
        <w:ind w:firstLine="800" w:firstLineChars="250"/>
        <w:rPr>
          <w:rFonts w:hint="default" w:ascii="仿宋_GB2312" w:eastAsia="仿宋_GB2312"/>
          <w:sz w:val="32"/>
          <w:szCs w:val="32"/>
          <w:lang w:val="en-US" w:eastAsia="zh-CN"/>
        </w:rPr>
      </w:pPr>
      <w:r>
        <w:rPr>
          <w:rFonts w:hint="eastAsia" w:ascii="仿宋_GB2312" w:eastAsia="仿宋_GB2312"/>
          <w:sz w:val="32"/>
          <w:szCs w:val="32"/>
        </w:rPr>
        <w:t>副组长：</w:t>
      </w:r>
      <w:r>
        <w:rPr>
          <w:rFonts w:hint="eastAsia" w:ascii="仿宋_GB2312" w:eastAsia="仿宋_GB2312"/>
          <w:sz w:val="32"/>
          <w:szCs w:val="32"/>
          <w:lang w:eastAsia="zh-CN"/>
        </w:rPr>
        <w:t>副主任</w:t>
      </w:r>
      <w:r>
        <w:rPr>
          <w:rFonts w:hint="eastAsia" w:ascii="仿宋_GB2312" w:eastAsia="仿宋_GB2312"/>
          <w:sz w:val="32"/>
          <w:szCs w:val="32"/>
          <w:lang w:val="en-US" w:eastAsia="zh-CN"/>
        </w:rPr>
        <w:t xml:space="preserve"> 纪检组长</w:t>
      </w:r>
    </w:p>
    <w:p>
      <w:pPr>
        <w:spacing w:line="540" w:lineRule="exact"/>
        <w:ind w:left="0" w:leftChars="0" w:firstLine="838" w:firstLineChars="262"/>
        <w:rPr>
          <w:rFonts w:ascii="仿宋_GB2312" w:eastAsia="仿宋_GB2312"/>
          <w:sz w:val="32"/>
          <w:szCs w:val="32"/>
        </w:rPr>
      </w:pPr>
      <w:r>
        <w:rPr>
          <w:rFonts w:hint="eastAsia" w:ascii="仿宋_GB2312" w:eastAsia="仿宋_GB2312"/>
          <w:sz w:val="32"/>
          <w:szCs w:val="32"/>
        </w:rPr>
        <w:t>成  员：</w:t>
      </w:r>
      <w:r>
        <w:rPr>
          <w:rFonts w:hint="eastAsia" w:ascii="仿宋_GB2312" w:eastAsia="仿宋_GB2312"/>
          <w:sz w:val="32"/>
          <w:szCs w:val="32"/>
          <w:lang w:eastAsia="zh-CN"/>
        </w:rPr>
        <w:t>各股室</w:t>
      </w:r>
      <w:r>
        <w:rPr>
          <w:rFonts w:hint="eastAsia" w:ascii="仿宋_GB2312" w:eastAsia="仿宋_GB2312"/>
          <w:sz w:val="32"/>
          <w:szCs w:val="32"/>
        </w:rPr>
        <w:t>负责人</w:t>
      </w:r>
    </w:p>
    <w:p>
      <w:pPr>
        <w:spacing w:line="540" w:lineRule="exact"/>
        <w:ind w:firstLine="482" w:firstLineChars="150"/>
        <w:rPr>
          <w:rFonts w:hint="eastAsia" w:ascii="仿宋" w:hAnsi="仿宋" w:eastAsia="仿宋" w:cs="Times New Roman"/>
          <w:color w:val="000000"/>
          <w:kern w:val="0"/>
          <w:sz w:val="32"/>
          <w:szCs w:val="32"/>
          <w:lang w:val="en-US" w:eastAsia="zh-CN" w:bidi="ar-SA"/>
        </w:rPr>
      </w:pPr>
      <w:r>
        <w:rPr>
          <w:rFonts w:hint="eastAsia" w:ascii="楷体_GB2312" w:hAnsi="宋体" w:eastAsia="楷体_GB2312"/>
          <w:b/>
          <w:sz w:val="32"/>
          <w:szCs w:val="32"/>
          <w:lang w:val="zh-CN"/>
        </w:rPr>
        <w:t>（二）项目管理情况。</w:t>
      </w:r>
      <w:r>
        <w:rPr>
          <w:rFonts w:hint="eastAsia" w:ascii="仿宋" w:hAnsi="仿宋" w:eastAsia="仿宋" w:cs="Times New Roman"/>
          <w:color w:val="000000"/>
          <w:kern w:val="0"/>
          <w:sz w:val="32"/>
          <w:szCs w:val="32"/>
          <w:lang w:val="en-US" w:eastAsia="zh-CN" w:bidi="ar-SA"/>
        </w:rPr>
        <w:t>本项目采取项目工作领导小组负责制，全体成员积极配合、通力合作。项目工作领导小组负责协调相关工作，项目实施及资金管理。</w:t>
      </w:r>
    </w:p>
    <w:p>
      <w:pPr>
        <w:spacing w:line="540" w:lineRule="exact"/>
        <w:ind w:firstLine="482" w:firstLineChars="150"/>
        <w:rPr>
          <w:rFonts w:hint="eastAsia" w:ascii="仿宋" w:hAnsi="仿宋" w:eastAsia="仿宋" w:cs="Times New Roman"/>
          <w:color w:val="000000"/>
          <w:kern w:val="0"/>
          <w:sz w:val="32"/>
          <w:szCs w:val="32"/>
          <w:lang w:val="en-US" w:eastAsia="zh-CN" w:bidi="ar-SA"/>
        </w:rPr>
      </w:pPr>
      <w:r>
        <w:rPr>
          <w:rFonts w:hint="eastAsia" w:ascii="楷体_GB2312" w:hAnsi="宋体" w:eastAsia="楷体_GB2312"/>
          <w:b/>
          <w:sz w:val="32"/>
          <w:szCs w:val="32"/>
          <w:lang w:val="zh-CN"/>
        </w:rPr>
        <w:t>（三）项目监管情况。</w:t>
      </w:r>
      <w:r>
        <w:rPr>
          <w:rFonts w:hint="eastAsia" w:ascii="仿宋" w:hAnsi="仿宋" w:eastAsia="仿宋" w:cs="Times New Roman"/>
          <w:color w:val="000000"/>
          <w:kern w:val="0"/>
          <w:sz w:val="32"/>
          <w:szCs w:val="32"/>
          <w:lang w:val="en-US" w:eastAsia="zh-CN" w:bidi="ar-SA"/>
        </w:rPr>
        <w:t>项目资金由办公室财务室具体管理，对项目资金按项目单独核算实行“专款专用”，不得挤占挪用项目资金。强化监督，项目的正常实施监督检查是保障。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42"/>
        <w:spacing w:line="600" w:lineRule="exact"/>
        <w:ind w:firstLine="640"/>
        <w:jc w:val="left"/>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1.目标完成任务量。全年完成政府采购项目56宗，政府采购网上竞价项目成交108宗，土地使用权出让29宗；采矿权出让1宗；国有资产交易47宗；集体经营性建设用地交易33宗。</w:t>
      </w:r>
    </w:p>
    <w:p>
      <w:pPr>
        <w:pStyle w:val="42"/>
        <w:spacing w:line="600" w:lineRule="exact"/>
        <w:ind w:firstLine="640"/>
        <w:jc w:val="left"/>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2.目标完成质量。规范劳务费使用，提高使用质量，项目顺利开展。</w:t>
      </w:r>
    </w:p>
    <w:p>
      <w:pPr>
        <w:spacing w:line="540" w:lineRule="exact"/>
        <w:ind w:firstLine="640" w:firstLineChars="20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3.目标完成进度。截止2020年12月，劳务费项目已完成73.16万元。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580" w:lineRule="exact"/>
        <w:ind w:firstLine="640" w:firstLineChars="20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中心立足“公共服务”定位，提升公共资源交易服务标准化规范化建设。被授予省级“示范交易中心”。风险防控能力大幅提升，进一步规范了各类交易行为，遏制围标串标等突出问题，确保交易活动更加公平公正。</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30"/>
        <w:ind w:firstLine="640" w:firstLineChars="200"/>
        <w:contextualSpacing/>
        <w:jc w:val="both"/>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在2020年度项目绩效自评工作中，我单位认真筹划，严密组织，以严谨务实的态度，不折不扣落实县委、县政府的相关要求，不断开创工作新局面，优质高效地完成了各项工作，我县公共资源交易服务保持了高质量持续向好发展势头。</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600" w:lineRule="exact"/>
        <w:ind w:firstLine="640" w:firstLineChars="200"/>
        <w:jc w:val="left"/>
        <w:rPr>
          <w:rFonts w:ascii="仿宋_GB2312" w:eastAsia="仿宋_GB2312"/>
          <w:sz w:val="32"/>
          <w:szCs w:val="32"/>
        </w:rPr>
      </w:pPr>
      <w:r>
        <w:rPr>
          <w:rFonts w:hint="eastAsia" w:ascii="仿宋" w:hAnsi="仿宋" w:eastAsia="仿宋"/>
          <w:color w:val="000000"/>
          <w:sz w:val="32"/>
          <w:szCs w:val="32"/>
        </w:rPr>
        <w:t>专家评审费与</w:t>
      </w:r>
      <w:r>
        <w:rPr>
          <w:rFonts w:hint="eastAsia" w:ascii="仿宋" w:hAnsi="仿宋" w:eastAsia="仿宋"/>
          <w:color w:val="000000"/>
          <w:sz w:val="32"/>
          <w:szCs w:val="32"/>
          <w:lang w:eastAsia="zh-CN"/>
        </w:rPr>
        <w:t>公共资源交易</w:t>
      </w:r>
      <w:r>
        <w:rPr>
          <w:rFonts w:hint="eastAsia" w:ascii="仿宋" w:hAnsi="仿宋" w:eastAsia="仿宋"/>
          <w:color w:val="000000"/>
          <w:sz w:val="32"/>
          <w:szCs w:val="32"/>
        </w:rPr>
        <w:t>项目数量直接相关，预算编制时无法准确编制专家评审费预算。</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规范管理制度，提高财务信息质量，完善管理制度，进一步加强项目资金管理。</w:t>
      </w:r>
    </w:p>
    <w:p>
      <w:pPr>
        <w:pStyle w:val="2"/>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ind w:firstLine="640" w:firstLineChars="200"/>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widowControl/>
        <w:jc w:val="center"/>
        <w:rPr>
          <w:rFonts w:ascii="黑体" w:hAnsi="黑体" w:eastAsia="黑体"/>
          <w:bCs/>
          <w:kern w:val="44"/>
          <w:sz w:val="44"/>
          <w:szCs w:val="44"/>
        </w:rPr>
      </w:pPr>
      <w:r>
        <w:rPr>
          <w:rFonts w:hint="eastAsia" w:ascii="方正小标宋简体" w:hAnsi="宋体" w:eastAsia="方正小标宋简体"/>
          <w:color w:val="000000"/>
          <w:kern w:val="0"/>
          <w:sz w:val="44"/>
          <w:szCs w:val="44"/>
        </w:rPr>
        <w:t>业务运行费</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pStyle w:val="30"/>
        <w:ind w:firstLine="640" w:firstLineChars="200"/>
        <w:contextualSpacing/>
        <w:jc w:val="both"/>
        <w:rPr>
          <w:rFonts w:ascii="仿宋_GB2312" w:eastAsia="仿宋_GB2312"/>
          <w:sz w:val="32"/>
          <w:szCs w:val="32"/>
        </w:rPr>
      </w:pPr>
      <w:r>
        <w:rPr>
          <w:rFonts w:hint="eastAsia" w:ascii="仿宋_GB2312" w:hAnsi="宋体" w:eastAsia="仿宋_GB2312" w:cs="黑体"/>
          <w:kern w:val="2"/>
          <w:sz w:val="32"/>
          <w:szCs w:val="32"/>
          <w:lang w:val="en-US" w:eastAsia="zh-CN" w:bidi="ar-SA"/>
        </w:rPr>
        <w:t>有序推进政府采购、工程建设、国有资产、土地与矿权、农村产权等相关业务工作；按各项公共资源交易活动相关时间节点规定，如期开展并完成相关工作；切实降低工作支出成本，推进全县公共资源交易活动公正、有序、高效进行，提高各方交易主体对本平台功能满意度。</w:t>
      </w:r>
      <w:r>
        <w:rPr>
          <w:rFonts w:hint="eastAsia" w:ascii="Times New Roman" w:hAnsi="Times New Roman" w:eastAsia="仿宋_GB2312" w:cs="Times New Roman"/>
          <w:color w:val="auto"/>
          <w:sz w:val="32"/>
          <w:szCs w:val="32"/>
        </w:rPr>
        <w:t>我单位申报公共资源交易业务经费项目。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Style w:val="42"/>
        <w:ind w:firstLine="64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一是为了巩固改革成果，促进职能转变，规范交易行为，减少交易风险，保证公平公正、促进交易阳光高效，优化公共资源交易环境，服务于经济社会建设。二是严格按照全省“示范交易中心”的要求，完成场地建设，进一步提高服务质量，规范服务行为，为进场交易各方提供高质量和高效率运行，成功创建首批全省“示范交易中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30"/>
        <w:ind w:firstLine="643" w:firstLineChars="200"/>
        <w:contextualSpacing/>
        <w:jc w:val="both"/>
        <w:rPr>
          <w:rFonts w:hint="eastAsia" w:ascii="仿宋" w:hAnsi="仿宋" w:eastAsia="仿宋" w:cs="Times New Roman"/>
          <w:color w:val="000000"/>
          <w:kern w:val="0"/>
          <w:sz w:val="32"/>
          <w:szCs w:val="32"/>
          <w:lang w:val="en-US" w:eastAsia="zh-CN" w:bidi="ar-SA"/>
        </w:rPr>
      </w:pPr>
      <w:r>
        <w:rPr>
          <w:rFonts w:hint="eastAsia" w:ascii="Times New Roman" w:hAnsi="Times New Roman" w:eastAsia="仿宋_GB2312" w:cs="Times New Roman"/>
          <w:b/>
          <w:bCs/>
          <w:color w:val="auto"/>
          <w:sz w:val="32"/>
          <w:szCs w:val="32"/>
        </w:rPr>
        <w:t>1.前期准备。</w:t>
      </w:r>
      <w:bookmarkStart w:id="130" w:name="_GoBack"/>
      <w:r>
        <w:rPr>
          <w:rFonts w:hint="eastAsia" w:ascii="仿宋" w:hAnsi="仿宋" w:eastAsia="仿宋" w:cs="Times New Roman"/>
          <w:color w:val="000000"/>
          <w:kern w:val="0"/>
          <w:sz w:val="32"/>
          <w:szCs w:val="32"/>
          <w:lang w:val="en-US" w:eastAsia="zh-CN" w:bidi="ar-SA"/>
        </w:rPr>
        <w:t>认真学习财政关于全面推行预算绩效管理的相关文件精神，研究绩效评价指标体系，准确把握工作要求，为扎实开展绩效评价打下良好基础。</w:t>
      </w:r>
    </w:p>
    <w:bookmarkEnd w:id="130"/>
    <w:p>
      <w:pPr>
        <w:pStyle w:val="30"/>
        <w:ind w:firstLine="643" w:firstLineChars="200"/>
        <w:contextualSpacing/>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2.组织实施。</w:t>
      </w:r>
      <w:r>
        <w:rPr>
          <w:rFonts w:hint="eastAsia" w:ascii="Times New Roman" w:hAnsi="Times New Roman" w:eastAsia="仿宋_GB2312" w:cs="Times New Roman"/>
          <w:color w:val="auto"/>
          <w:sz w:val="32"/>
          <w:szCs w:val="32"/>
        </w:rPr>
        <w:t>针对绩效评价的相关要求，认真收集、核实评价基础数据，进行绩效自评，根据检查情况，撰写绩效自评报告。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pStyle w:val="30"/>
        <w:ind w:firstLine="643" w:firstLineChars="200"/>
        <w:contextualSpacing/>
        <w:jc w:val="both"/>
        <w:rPr>
          <w:rFonts w:ascii="楷体_GB2312" w:hAnsi="Times New Roman" w:eastAsia="楷体_GB2312" w:cs="Times New Roman"/>
          <w:b/>
          <w:bCs/>
          <w:color w:val="auto"/>
          <w:sz w:val="32"/>
          <w:szCs w:val="32"/>
        </w:rPr>
      </w:pPr>
      <w:r>
        <w:rPr>
          <w:rFonts w:hint="eastAsia" w:ascii="楷体_GB2312" w:hAnsi="Times New Roman" w:eastAsia="楷体_GB2312" w:cs="Times New Roman"/>
          <w:b/>
          <w:bCs/>
          <w:color w:val="auto"/>
          <w:sz w:val="32"/>
          <w:szCs w:val="32"/>
        </w:rPr>
        <w:t>（一）项目资金申报及批复情况</w:t>
      </w:r>
    </w:p>
    <w:p>
      <w:pPr>
        <w:pStyle w:val="30"/>
        <w:ind w:firstLine="640" w:firstLineChars="200"/>
        <w:contextualSpacing/>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我单位申报公共资源交易业务经费项目资金</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财政局批复该项目预算资金指标</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万元。</w:t>
      </w:r>
    </w:p>
    <w:p>
      <w:pPr>
        <w:pStyle w:val="30"/>
        <w:ind w:firstLine="643" w:firstLineChars="200"/>
        <w:contextualSpacing/>
        <w:jc w:val="both"/>
        <w:rPr>
          <w:rFonts w:ascii="楷体_GB2312" w:hAnsi="Times New Roman" w:eastAsia="楷体_GB2312" w:cs="Times New Roman"/>
          <w:b/>
          <w:bCs/>
          <w:color w:val="auto"/>
          <w:sz w:val="32"/>
          <w:szCs w:val="32"/>
        </w:rPr>
      </w:pPr>
      <w:r>
        <w:rPr>
          <w:rFonts w:hint="eastAsia" w:ascii="楷体_GB2312" w:hAnsi="Times New Roman" w:eastAsia="楷体_GB2312" w:cs="Times New Roman"/>
          <w:b/>
          <w:bCs/>
          <w:color w:val="auto"/>
          <w:sz w:val="32"/>
          <w:szCs w:val="32"/>
        </w:rPr>
        <w:t>（二）资金计划、到位及使用情况</w:t>
      </w:r>
    </w:p>
    <w:p>
      <w:pPr>
        <w:pStyle w:val="30"/>
        <w:ind w:firstLine="643" w:firstLineChars="200"/>
        <w:contextualSpacing/>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rPr>
        <w:t>．资金计划。</w:t>
      </w:r>
      <w:r>
        <w:rPr>
          <w:rFonts w:hint="eastAsia" w:ascii="Times New Roman" w:hAnsi="Times New Roman" w:eastAsia="仿宋_GB2312" w:cs="Times New Roman"/>
          <w:color w:val="auto"/>
          <w:sz w:val="32"/>
          <w:szCs w:val="32"/>
        </w:rPr>
        <w:t>该</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万元为</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财政资金。</w:t>
      </w:r>
    </w:p>
    <w:p>
      <w:pPr>
        <w:pStyle w:val="30"/>
        <w:ind w:firstLine="643" w:firstLineChars="200"/>
        <w:contextualSpacing/>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rPr>
        <w:t>．资金到位。</w:t>
      </w:r>
      <w:r>
        <w:rPr>
          <w:rFonts w:hint="eastAsia" w:ascii="Times New Roman" w:hAnsi="Times New Roman" w:eastAsia="仿宋_GB2312" w:cs="Times New Roman"/>
          <w:color w:val="auto"/>
          <w:sz w:val="32"/>
          <w:szCs w:val="32"/>
        </w:rPr>
        <w:t>资金到位率100%，到位及时性100%。</w:t>
      </w:r>
    </w:p>
    <w:p>
      <w:pPr>
        <w:pStyle w:val="30"/>
        <w:ind w:firstLine="643" w:firstLineChars="200"/>
        <w:contextualSpacing/>
        <w:jc w:val="both"/>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3</w:t>
      </w:r>
      <w:r>
        <w:rPr>
          <w:rFonts w:hint="eastAsia" w:ascii="Times New Roman" w:hAnsi="Times New Roman" w:eastAsia="仿宋_GB2312" w:cs="Times New Roman"/>
          <w:b/>
          <w:bCs/>
          <w:color w:val="auto"/>
          <w:sz w:val="32"/>
          <w:szCs w:val="32"/>
        </w:rPr>
        <w:t>、资金使用。</w:t>
      </w:r>
      <w:r>
        <w:rPr>
          <w:rFonts w:hint="eastAsia" w:ascii="Times New Roman" w:hAnsi="Times New Roman" w:eastAsia="仿宋_GB2312" w:cs="Times New Roman"/>
          <w:color w:val="auto"/>
          <w:sz w:val="32"/>
          <w:szCs w:val="32"/>
        </w:rPr>
        <w:t>截止评价时点，公共资源交易业务经费项目资金实际支出</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万元，资金使用安全、规范、有效，资金支付范围、支付标准、支付进度、支付依据合规合法，与预算相符。</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540" w:lineRule="exact"/>
        <w:ind w:left="720"/>
        <w:rPr>
          <w:rFonts w:ascii="仿宋_GB2312" w:eastAsia="仿宋_GB2312"/>
          <w:sz w:val="32"/>
          <w:szCs w:val="32"/>
        </w:rPr>
      </w:pPr>
      <w:r>
        <w:rPr>
          <w:rFonts w:hint="eastAsia" w:ascii="仿宋_GB2312" w:eastAsia="仿宋_GB2312"/>
          <w:sz w:val="32"/>
          <w:szCs w:val="32"/>
        </w:rPr>
        <w:t>成立项目工作领导小组。</w:t>
      </w:r>
    </w:p>
    <w:p>
      <w:pPr>
        <w:adjustRightInd w:val="0"/>
        <w:snapToGrid w:val="0"/>
        <w:spacing w:line="600" w:lineRule="exact"/>
        <w:ind w:firstLine="720"/>
        <w:rPr>
          <w:rFonts w:hint="eastAsia" w:ascii="楷体_GB2312" w:hAnsi="宋体" w:eastAsia="楷体_GB2312"/>
          <w:sz w:val="32"/>
          <w:szCs w:val="32"/>
          <w:lang w:val="zh-CN"/>
        </w:rPr>
      </w:pPr>
      <w:r>
        <w:rPr>
          <w:rFonts w:hint="eastAsia" w:ascii="楷体_GB2312" w:hAnsi="宋体" w:eastAsia="楷体_GB2312"/>
          <w:sz w:val="32"/>
          <w:szCs w:val="32"/>
          <w:lang w:val="zh-CN"/>
        </w:rPr>
        <w:t>1.组织架构</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组</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val="zh-CN"/>
        </w:rPr>
        <w:t>长：主任</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仿宋_GB2312" w:hAnsi="宋体" w:eastAsia="仿宋_GB2312"/>
          <w:sz w:val="32"/>
          <w:szCs w:val="32"/>
          <w:lang w:val="zh-CN"/>
        </w:rPr>
        <w:t>副组长：副主任</w:t>
      </w:r>
      <w:r>
        <w:rPr>
          <w:rFonts w:hint="eastAsia" w:ascii="仿宋_GB2312" w:hAnsi="宋体" w:eastAsia="仿宋_GB2312"/>
          <w:sz w:val="32"/>
          <w:szCs w:val="32"/>
          <w:lang w:val="en-US" w:eastAsia="zh-CN"/>
        </w:rPr>
        <w:t xml:space="preserve"> 纪检组长</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成</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lang w:val="zh-CN"/>
        </w:rPr>
        <w:t>员：各股室负责人</w:t>
      </w:r>
    </w:p>
    <w:p>
      <w:pPr>
        <w:spacing w:line="540" w:lineRule="exact"/>
        <w:ind w:firstLine="482" w:firstLineChars="150"/>
        <w:rPr>
          <w:rFonts w:ascii="仿宋_GB2312" w:eastAsia="仿宋_GB2312"/>
          <w:sz w:val="32"/>
          <w:szCs w:val="32"/>
        </w:rPr>
      </w:pPr>
      <w:r>
        <w:rPr>
          <w:rFonts w:hint="eastAsia" w:ascii="楷体_GB2312" w:hAnsi="宋体" w:eastAsia="楷体_GB2312"/>
          <w:b/>
          <w:sz w:val="32"/>
          <w:szCs w:val="32"/>
          <w:lang w:val="zh-CN"/>
        </w:rPr>
        <w:t>（二）项目管理情况。</w:t>
      </w:r>
      <w:r>
        <w:rPr>
          <w:rFonts w:hint="eastAsia" w:ascii="仿宋_GB2312" w:eastAsia="仿宋_GB2312"/>
          <w:sz w:val="32"/>
          <w:szCs w:val="32"/>
        </w:rPr>
        <w:t>本项目采取项目工作领导小组负责制，全体成员积极配合、通力合作。项目工作领导小组负责协调相关工作，项目实施及资金管理。</w:t>
      </w:r>
    </w:p>
    <w:p>
      <w:pPr>
        <w:spacing w:line="540" w:lineRule="exact"/>
        <w:ind w:firstLine="482" w:firstLineChars="150"/>
        <w:rPr>
          <w:rFonts w:ascii="仿宋_GB2312" w:eastAsia="仿宋_GB2312"/>
          <w:sz w:val="32"/>
          <w:szCs w:val="32"/>
        </w:rPr>
      </w:pPr>
      <w:r>
        <w:rPr>
          <w:rFonts w:hint="eastAsia" w:ascii="楷体_GB2312" w:hAnsi="宋体" w:eastAsia="楷体_GB2312"/>
          <w:b/>
          <w:sz w:val="32"/>
          <w:szCs w:val="32"/>
          <w:lang w:val="zh-CN"/>
        </w:rPr>
        <w:t>（三）项目监管情况。</w:t>
      </w:r>
      <w:r>
        <w:rPr>
          <w:rFonts w:hint="eastAsia" w:ascii="仿宋_GB2312" w:eastAsia="仿宋_GB2312"/>
          <w:sz w:val="32"/>
          <w:szCs w:val="32"/>
        </w:rPr>
        <w:t>项目资金由</w:t>
      </w:r>
      <w:r>
        <w:rPr>
          <w:rFonts w:hint="eastAsia" w:ascii="仿宋_GB2312" w:eastAsia="仿宋_GB2312"/>
          <w:sz w:val="32"/>
          <w:szCs w:val="32"/>
          <w:lang w:eastAsia="zh-CN"/>
        </w:rPr>
        <w:t>办公室</w:t>
      </w:r>
      <w:r>
        <w:rPr>
          <w:rFonts w:hint="eastAsia" w:ascii="仿宋_GB2312" w:eastAsia="仿宋_GB2312"/>
          <w:sz w:val="32"/>
          <w:szCs w:val="32"/>
        </w:rPr>
        <w:t>具体管理，对项目资金按项目单独核算实行“专款专用”，不得挤占挪用项目资金。强化监督，项目的正常实施监督检查是保障。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42"/>
        <w:spacing w:line="600" w:lineRule="exact"/>
        <w:ind w:firstLine="640"/>
        <w:jc w:val="left"/>
        <w:rPr>
          <w:rFonts w:hint="eastAsia" w:ascii="仿宋_GB2312" w:hAnsi="宋体" w:eastAsia="仿宋_GB2312"/>
          <w:sz w:val="32"/>
          <w:szCs w:val="32"/>
        </w:rPr>
      </w:pPr>
      <w:r>
        <w:rPr>
          <w:rFonts w:hint="eastAsia" w:ascii="仿宋_GB2312" w:eastAsia="仿宋_GB2312"/>
          <w:sz w:val="32"/>
          <w:szCs w:val="32"/>
        </w:rPr>
        <w:t>1.目标完成任务量。一</w:t>
      </w:r>
      <w:r>
        <w:rPr>
          <w:rFonts w:hint="eastAsia" w:ascii="仿宋_GB2312" w:hAnsi="宋体" w:eastAsia="仿宋_GB2312"/>
          <w:sz w:val="32"/>
          <w:szCs w:val="32"/>
        </w:rPr>
        <w:t>是全年完成政府采购项目</w:t>
      </w:r>
      <w:r>
        <w:rPr>
          <w:rFonts w:hint="eastAsia" w:ascii="仿宋_GB2312" w:hAnsi="宋体" w:eastAsia="仿宋_GB2312"/>
          <w:sz w:val="32"/>
          <w:szCs w:val="32"/>
          <w:lang w:val="en-US" w:eastAsia="zh-CN"/>
        </w:rPr>
        <w:t>56</w:t>
      </w:r>
      <w:r>
        <w:rPr>
          <w:rFonts w:hint="eastAsia" w:ascii="仿宋_GB2312" w:hAnsi="宋体" w:eastAsia="仿宋_GB2312"/>
          <w:sz w:val="32"/>
          <w:szCs w:val="32"/>
        </w:rPr>
        <w:t>宗</w:t>
      </w:r>
      <w:r>
        <w:rPr>
          <w:rFonts w:hint="eastAsia" w:ascii="仿宋_GB2312" w:hAnsi="宋体" w:eastAsia="仿宋_GB2312"/>
          <w:sz w:val="32"/>
          <w:szCs w:val="32"/>
          <w:lang w:eastAsia="zh-CN"/>
        </w:rPr>
        <w:t>；</w:t>
      </w:r>
      <w:r>
        <w:rPr>
          <w:rFonts w:hint="eastAsia" w:ascii="仿宋_GB2312" w:hAnsi="宋体" w:eastAsia="仿宋_GB2312"/>
          <w:sz w:val="32"/>
          <w:szCs w:val="32"/>
        </w:rPr>
        <w:t>网上竞价项目成交</w:t>
      </w:r>
      <w:r>
        <w:rPr>
          <w:rFonts w:hint="eastAsia" w:ascii="仿宋_GB2312" w:hAnsi="宋体" w:eastAsia="仿宋_GB2312"/>
          <w:sz w:val="32"/>
          <w:szCs w:val="32"/>
          <w:lang w:val="en-US" w:eastAsia="zh-CN"/>
        </w:rPr>
        <w:t>108</w:t>
      </w:r>
      <w:r>
        <w:rPr>
          <w:rFonts w:hint="eastAsia" w:ascii="仿宋_GB2312" w:hAnsi="宋体" w:eastAsia="仿宋_GB2312"/>
          <w:sz w:val="32"/>
          <w:szCs w:val="32"/>
        </w:rPr>
        <w:t>宗</w:t>
      </w:r>
      <w:r>
        <w:rPr>
          <w:rFonts w:hint="eastAsia" w:ascii="仿宋_GB2312" w:hAnsi="宋体" w:eastAsia="仿宋_GB2312"/>
          <w:sz w:val="32"/>
          <w:szCs w:val="32"/>
          <w:lang w:eastAsia="zh-CN"/>
        </w:rPr>
        <w:t>；</w:t>
      </w:r>
      <w:r>
        <w:rPr>
          <w:rFonts w:hint="eastAsia" w:ascii="仿宋_GB2312" w:hAnsi="宋体" w:eastAsia="仿宋_GB2312"/>
          <w:sz w:val="32"/>
          <w:szCs w:val="32"/>
        </w:rPr>
        <w:t>土地使用权出让</w:t>
      </w:r>
      <w:r>
        <w:rPr>
          <w:rFonts w:hint="eastAsia" w:ascii="仿宋_GB2312" w:hAnsi="宋体" w:eastAsia="仿宋_GB2312"/>
          <w:sz w:val="32"/>
          <w:szCs w:val="32"/>
          <w:lang w:val="en-US" w:eastAsia="zh-CN"/>
        </w:rPr>
        <w:t>29</w:t>
      </w:r>
      <w:r>
        <w:rPr>
          <w:rFonts w:hint="eastAsia" w:ascii="仿宋_GB2312" w:hAnsi="宋体" w:eastAsia="仿宋_GB2312"/>
          <w:sz w:val="32"/>
          <w:szCs w:val="32"/>
        </w:rPr>
        <w:t>宗</w:t>
      </w:r>
      <w:r>
        <w:rPr>
          <w:rFonts w:hint="eastAsia" w:ascii="仿宋_GB2312" w:hAnsi="宋体" w:eastAsia="仿宋_GB2312"/>
          <w:sz w:val="32"/>
          <w:szCs w:val="32"/>
          <w:lang w:eastAsia="zh-CN"/>
        </w:rPr>
        <w:t>；</w:t>
      </w:r>
      <w:r>
        <w:rPr>
          <w:rFonts w:hint="eastAsia" w:ascii="仿宋_GB2312" w:hAnsi="宋体" w:eastAsia="仿宋_GB2312"/>
          <w:sz w:val="32"/>
          <w:szCs w:val="32"/>
        </w:rPr>
        <w:t>采矿权出让</w:t>
      </w:r>
      <w:r>
        <w:rPr>
          <w:rFonts w:hint="eastAsia" w:ascii="仿宋_GB2312" w:hAnsi="宋体" w:eastAsia="仿宋_GB2312"/>
          <w:sz w:val="32"/>
          <w:szCs w:val="32"/>
          <w:lang w:val="en-US" w:eastAsia="zh-CN"/>
        </w:rPr>
        <w:t>1</w:t>
      </w:r>
      <w:r>
        <w:rPr>
          <w:rFonts w:hint="eastAsia" w:ascii="仿宋_GB2312" w:hAnsi="宋体" w:eastAsia="仿宋_GB2312"/>
          <w:sz w:val="32"/>
          <w:szCs w:val="32"/>
        </w:rPr>
        <w:t>宗</w:t>
      </w:r>
      <w:r>
        <w:rPr>
          <w:rFonts w:hint="eastAsia" w:ascii="仿宋_GB2312" w:hAnsi="宋体" w:eastAsia="仿宋_GB2312"/>
          <w:sz w:val="32"/>
          <w:szCs w:val="32"/>
          <w:lang w:eastAsia="zh-CN"/>
        </w:rPr>
        <w:t>；</w:t>
      </w:r>
      <w:r>
        <w:rPr>
          <w:rFonts w:hint="eastAsia" w:ascii="仿宋_GB2312" w:hAnsi="宋体" w:eastAsia="仿宋_GB2312"/>
          <w:sz w:val="32"/>
          <w:szCs w:val="32"/>
        </w:rPr>
        <w:t>成交金额</w:t>
      </w:r>
      <w:r>
        <w:rPr>
          <w:rFonts w:hint="eastAsia" w:ascii="仿宋_GB2312" w:hAnsi="宋体" w:eastAsia="仿宋_GB2312"/>
          <w:sz w:val="32"/>
          <w:szCs w:val="32"/>
          <w:lang w:val="en-US" w:eastAsia="zh-CN"/>
        </w:rPr>
        <w:t>4720万</w:t>
      </w:r>
      <w:r>
        <w:rPr>
          <w:rFonts w:hint="eastAsia" w:ascii="仿宋_GB2312" w:hAnsi="宋体" w:eastAsia="仿宋_GB2312"/>
          <w:sz w:val="32"/>
          <w:szCs w:val="32"/>
        </w:rPr>
        <w:t>元；国有资产交易</w:t>
      </w:r>
      <w:r>
        <w:rPr>
          <w:rFonts w:hint="eastAsia" w:ascii="仿宋_GB2312" w:hAnsi="宋体" w:eastAsia="仿宋_GB2312"/>
          <w:sz w:val="32"/>
          <w:szCs w:val="32"/>
          <w:lang w:val="en-US" w:eastAsia="zh-CN"/>
        </w:rPr>
        <w:t>47</w:t>
      </w:r>
      <w:r>
        <w:rPr>
          <w:rFonts w:hint="eastAsia" w:ascii="仿宋_GB2312" w:hAnsi="宋体" w:eastAsia="仿宋_GB2312"/>
          <w:sz w:val="32"/>
          <w:szCs w:val="32"/>
        </w:rPr>
        <w:t>宗</w:t>
      </w:r>
      <w:r>
        <w:rPr>
          <w:rFonts w:hint="eastAsia" w:ascii="仿宋_GB2312" w:hAnsi="宋体" w:eastAsia="仿宋_GB2312"/>
          <w:sz w:val="32"/>
          <w:szCs w:val="32"/>
          <w:lang w:eastAsia="zh-CN"/>
        </w:rPr>
        <w:t>；集体经营性建设用地交易</w:t>
      </w:r>
      <w:r>
        <w:rPr>
          <w:rFonts w:hint="eastAsia" w:ascii="仿宋_GB2312" w:hAnsi="宋体" w:eastAsia="仿宋_GB2312"/>
          <w:sz w:val="32"/>
          <w:szCs w:val="32"/>
          <w:lang w:val="en-US" w:eastAsia="zh-CN"/>
        </w:rPr>
        <w:t>33宗</w:t>
      </w:r>
      <w:r>
        <w:rPr>
          <w:rFonts w:hint="eastAsia" w:ascii="仿宋_GB2312" w:hAnsi="宋体" w:eastAsia="仿宋_GB2312"/>
          <w:sz w:val="32"/>
          <w:szCs w:val="32"/>
        </w:rPr>
        <w:t>。</w:t>
      </w:r>
      <w:r>
        <w:rPr>
          <w:rFonts w:hint="eastAsia" w:ascii="仿宋_GB2312" w:hAnsi="宋体" w:eastAsia="仿宋_GB2312"/>
          <w:sz w:val="32"/>
          <w:szCs w:val="32"/>
          <w:lang w:eastAsia="zh-CN"/>
        </w:rPr>
        <w:t>二</w:t>
      </w:r>
      <w:r>
        <w:rPr>
          <w:rFonts w:hint="eastAsia" w:ascii="仿宋_GB2312" w:hAnsi="宋体" w:eastAsia="仿宋_GB2312"/>
          <w:sz w:val="32"/>
          <w:szCs w:val="32"/>
        </w:rPr>
        <w:t>是创建成为全省首批“示范交易中心”。</w:t>
      </w:r>
    </w:p>
    <w:p>
      <w:pPr>
        <w:pStyle w:val="42"/>
        <w:spacing w:line="600" w:lineRule="exact"/>
        <w:ind w:firstLine="640"/>
        <w:jc w:val="left"/>
        <w:rPr>
          <w:rFonts w:ascii="仿宋_GB2312" w:hAnsi="宋体" w:eastAsia="仿宋_GB2312"/>
          <w:sz w:val="32"/>
          <w:szCs w:val="32"/>
        </w:rPr>
      </w:pPr>
      <w:r>
        <w:rPr>
          <w:rFonts w:hint="eastAsia" w:ascii="仿宋_GB2312" w:eastAsia="仿宋_GB2312"/>
          <w:sz w:val="32"/>
          <w:szCs w:val="32"/>
        </w:rPr>
        <w:t>2.目标完成质量。</w:t>
      </w:r>
      <w:r>
        <w:rPr>
          <w:rFonts w:hint="eastAsia" w:ascii="仿宋_GB2312" w:hAnsi="宋体" w:eastAsia="仿宋_GB2312"/>
          <w:sz w:val="32"/>
          <w:szCs w:val="32"/>
        </w:rPr>
        <w:t>保证公平公正、促进交易阳光高效，优化公共资源交易环境，服务于经济社会建设。</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3.目标完成进度。截止2020年12月，业务运行费项目已全面完成。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30"/>
        <w:ind w:firstLine="640" w:firstLineChars="200"/>
        <w:contextualSpacing/>
        <w:jc w:val="both"/>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保障</w:t>
      </w:r>
      <w:r>
        <w:rPr>
          <w:rFonts w:hint="eastAsia" w:ascii="仿宋_GB2312" w:hAnsi="宋体" w:eastAsia="仿宋_GB2312"/>
          <w:sz w:val="32"/>
          <w:szCs w:val="32"/>
          <w:shd w:val="clear" w:color="auto" w:fill="FFFFFF"/>
          <w:lang w:eastAsia="zh-CN"/>
        </w:rPr>
        <w:t>县</w:t>
      </w:r>
      <w:r>
        <w:rPr>
          <w:rFonts w:hint="eastAsia" w:ascii="仿宋_GB2312" w:hAnsi="宋体" w:eastAsia="仿宋_GB2312"/>
          <w:sz w:val="32"/>
          <w:szCs w:val="32"/>
          <w:shd w:val="clear" w:color="auto" w:fill="FFFFFF"/>
        </w:rPr>
        <w:t>本级公共资源交易工作的顺利开展，对外提高我</w:t>
      </w:r>
      <w:r>
        <w:rPr>
          <w:rFonts w:hint="eastAsia" w:ascii="仿宋_GB2312" w:hAnsi="宋体" w:eastAsia="仿宋_GB2312"/>
          <w:sz w:val="32"/>
          <w:szCs w:val="32"/>
          <w:shd w:val="clear" w:color="auto" w:fill="FFFFFF"/>
          <w:lang w:eastAsia="zh-CN"/>
        </w:rPr>
        <w:t>县</w:t>
      </w:r>
      <w:r>
        <w:rPr>
          <w:rFonts w:hint="eastAsia" w:ascii="仿宋_GB2312" w:hAnsi="宋体" w:eastAsia="仿宋_GB2312"/>
          <w:sz w:val="32"/>
          <w:szCs w:val="32"/>
          <w:shd w:val="clear" w:color="auto" w:fill="FFFFFF"/>
        </w:rPr>
        <w:t>的知名度和市场优势，吸引更多的企业在我</w:t>
      </w:r>
      <w:r>
        <w:rPr>
          <w:rFonts w:hint="eastAsia" w:ascii="仿宋_GB2312" w:hAnsi="宋体" w:eastAsia="仿宋_GB2312"/>
          <w:sz w:val="32"/>
          <w:szCs w:val="32"/>
          <w:shd w:val="clear" w:color="auto" w:fill="FFFFFF"/>
          <w:lang w:eastAsia="zh-CN"/>
        </w:rPr>
        <w:t>县</w:t>
      </w:r>
      <w:r>
        <w:rPr>
          <w:rFonts w:hint="eastAsia" w:ascii="仿宋_GB2312" w:hAnsi="宋体" w:eastAsia="仿宋_GB2312"/>
          <w:sz w:val="32"/>
          <w:szCs w:val="32"/>
          <w:shd w:val="clear" w:color="auto" w:fill="FFFFFF"/>
        </w:rPr>
        <w:t>参与土地招拍挂、</w:t>
      </w:r>
      <w:r>
        <w:rPr>
          <w:rFonts w:hint="eastAsia" w:ascii="仿宋_GB2312" w:hAnsi="宋体" w:eastAsia="仿宋_GB2312"/>
          <w:sz w:val="32"/>
          <w:szCs w:val="32"/>
          <w:shd w:val="clear" w:color="auto" w:fill="FFFFFF"/>
          <w:lang w:eastAsia="zh-CN"/>
        </w:rPr>
        <w:t>资产地矿交易、</w:t>
      </w:r>
      <w:r>
        <w:rPr>
          <w:rFonts w:hint="eastAsia" w:ascii="仿宋_GB2312" w:hAnsi="宋体" w:eastAsia="仿宋_GB2312"/>
          <w:sz w:val="32"/>
          <w:szCs w:val="32"/>
          <w:shd w:val="clear" w:color="auto" w:fill="FFFFFF"/>
        </w:rPr>
        <w:t>建设工程招投标、政府采购等各项交易活动，增加财政收入，优化“营商环境”，为进场交易各方提供高质量、高效率的服务</w:t>
      </w:r>
      <w:r>
        <w:rPr>
          <w:rFonts w:hint="eastAsia" w:ascii="Times New Roman" w:hAnsi="Times New Roman" w:eastAsia="仿宋_GB2312" w:cs="Times New Roman"/>
          <w:color w:val="auto"/>
          <w:sz w:val="32"/>
          <w:szCs w:val="32"/>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30"/>
        <w:ind w:firstLine="640" w:firstLineChars="200"/>
        <w:contextualSpacing/>
        <w:jc w:val="both"/>
        <w:rPr>
          <w:rFonts w:ascii="仿宋_GB2312" w:hAnsi="仿宋" w:eastAsia="仿宋_GB2312" w:cs="仿宋_GB2312"/>
          <w:bCs/>
          <w:sz w:val="32"/>
          <w:szCs w:val="32"/>
        </w:rPr>
      </w:pPr>
      <w:r>
        <w:rPr>
          <w:rFonts w:hint="eastAsia" w:ascii="Times New Roman" w:hAnsi="Times New Roman" w:eastAsia="仿宋_GB2312" w:cs="Times New Roman"/>
          <w:color w:val="auto"/>
          <w:sz w:val="32"/>
          <w:szCs w:val="32"/>
        </w:rPr>
        <w:t>在2020年度项目绩效自评工作中，我单位认真筹划，严密组织，以严谨务实的态度，不折不扣落实</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委、</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政府的相关要求</w:t>
      </w:r>
      <w:r>
        <w:rPr>
          <w:rFonts w:hint="eastAsia" w:ascii="仿宋" w:hAnsi="仿宋" w:eastAsia="仿宋"/>
          <w:color w:val="000000"/>
          <w:sz w:val="32"/>
          <w:szCs w:val="32"/>
        </w:rPr>
        <w:t>，</w:t>
      </w:r>
      <w:r>
        <w:rPr>
          <w:rFonts w:ascii="仿宋" w:hAnsi="仿宋" w:eastAsia="仿宋"/>
          <w:color w:val="000000"/>
          <w:sz w:val="32"/>
          <w:szCs w:val="32"/>
        </w:rPr>
        <w:t>不断开创工作新局面，</w:t>
      </w:r>
      <w:r>
        <w:rPr>
          <w:rFonts w:hint="eastAsia" w:ascii="仿宋_GB2312" w:eastAsia="仿宋_GB2312"/>
          <w:kern w:val="0"/>
          <w:sz w:val="32"/>
          <w:szCs w:val="32"/>
        </w:rPr>
        <w:t>优质高效地完成了各项工作，我</w:t>
      </w:r>
      <w:r>
        <w:rPr>
          <w:rFonts w:hint="eastAsia" w:ascii="仿宋_GB2312" w:eastAsia="仿宋_GB2312"/>
          <w:kern w:val="0"/>
          <w:sz w:val="32"/>
          <w:szCs w:val="32"/>
          <w:lang w:eastAsia="zh-CN"/>
        </w:rPr>
        <w:t>县</w:t>
      </w:r>
      <w:r>
        <w:rPr>
          <w:rFonts w:hint="eastAsia" w:ascii="仿宋_GB2312" w:eastAsia="仿宋_GB2312"/>
          <w:kern w:val="0"/>
          <w:sz w:val="32"/>
          <w:szCs w:val="32"/>
        </w:rPr>
        <w:t>公共资源交易服务保持了高质量持续向好发展势头。</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pStyle w:val="30"/>
        <w:ind w:firstLine="640" w:firstLineChars="200"/>
        <w:contextualSpacing/>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在部分绩效目标设定上，还需根据形势、任务的变化做相应调整和优化。</w:t>
      </w:r>
    </w:p>
    <w:p>
      <w:pPr>
        <w:pStyle w:val="30"/>
        <w:ind w:firstLine="643" w:firstLineChars="200"/>
        <w:contextualSpacing/>
        <w:jc w:val="both"/>
        <w:rPr>
          <w:rFonts w:ascii="楷体_GB2312" w:hAnsi="Times New Roman" w:eastAsia="楷体_GB2312" w:cs="Times New Roman"/>
          <w:b/>
          <w:bCs/>
          <w:color w:val="auto"/>
          <w:sz w:val="32"/>
          <w:szCs w:val="32"/>
        </w:rPr>
      </w:pPr>
      <w:r>
        <w:rPr>
          <w:rFonts w:hint="eastAsia" w:ascii="楷体_GB2312" w:hAnsi="Times New Roman" w:eastAsia="楷体_GB2312" w:cs="Times New Roman"/>
          <w:b/>
          <w:bCs/>
          <w:color w:val="auto"/>
          <w:sz w:val="32"/>
          <w:szCs w:val="32"/>
        </w:rPr>
        <w:t>（三）相关建议</w:t>
      </w:r>
    </w:p>
    <w:p>
      <w:pPr>
        <w:pStyle w:val="30"/>
        <w:ind w:firstLine="640" w:firstLineChars="200"/>
        <w:contextualSpacing/>
        <w:jc w:val="both"/>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加强对单位预算绩效管理人员的培训，提升绩效评价人员的业务水平。</w:t>
      </w:r>
    </w:p>
    <w:p>
      <w:pPr>
        <w:pStyle w:val="30"/>
        <w:ind w:firstLine="640" w:firstLineChars="200"/>
        <w:contextualSpacing/>
        <w:jc w:val="both"/>
        <w:rPr>
          <w:rFonts w:hint="eastAsia" w:ascii="Times New Roman" w:hAnsi="Times New Roman" w:eastAsia="仿宋_GB2312" w:cs="Times New Roman"/>
          <w:color w:val="auto"/>
          <w:sz w:val="32"/>
          <w:szCs w:val="32"/>
        </w:rPr>
      </w:pPr>
    </w:p>
    <w:p>
      <w:pPr>
        <w:spacing w:line="600" w:lineRule="exact"/>
        <w:jc w:val="center"/>
        <w:outlineLvl w:val="0"/>
        <w:rPr>
          <w:rFonts w:hint="eastAsia" w:ascii="黑体" w:hAnsi="黑体" w:eastAsia="黑体"/>
          <w:color w:val="000000"/>
          <w:sz w:val="44"/>
          <w:szCs w:val="44"/>
        </w:rPr>
      </w:pPr>
      <w:bookmarkStart w:id="86" w:name="_Toc15396618"/>
      <w:bookmarkStart w:id="87" w:name="_Toc12789"/>
      <w:bookmarkStart w:id="88" w:name="_Toc22404"/>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37"/>
          <w:rFonts w:ascii="黑体" w:hAnsi="黑体" w:eastAsia="黑体"/>
          <w:b w:val="0"/>
        </w:rPr>
      </w:pPr>
      <w:r>
        <w:rPr>
          <w:rFonts w:hint="eastAsia" w:ascii="黑体" w:hAnsi="黑体" w:eastAsia="黑体"/>
          <w:color w:val="000000"/>
          <w:sz w:val="44"/>
          <w:szCs w:val="44"/>
        </w:rPr>
        <w:t>第</w:t>
      </w:r>
      <w:r>
        <w:rPr>
          <w:rStyle w:val="37"/>
          <w:rFonts w:hint="eastAsia" w:ascii="黑体" w:hAnsi="黑体" w:eastAsia="黑体"/>
          <w:b w:val="0"/>
        </w:rPr>
        <w:t>五部分 附表</w:t>
      </w:r>
      <w:bookmarkEnd w:id="81"/>
      <w:bookmarkEnd w:id="86"/>
      <w:bookmarkEnd w:id="87"/>
      <w:bookmarkEnd w:id="88"/>
    </w:p>
    <w:p>
      <w:pPr>
        <w:pStyle w:val="4"/>
        <w:rPr>
          <w:rFonts w:ascii="仿宋" w:hAnsi="仿宋" w:eastAsia="仿宋"/>
          <w:color w:val="000000"/>
        </w:rPr>
      </w:pPr>
      <w:bookmarkStart w:id="89" w:name="_Toc15396619"/>
      <w:bookmarkStart w:id="90" w:name="_Toc25705"/>
      <w:bookmarkStart w:id="91" w:name="_Toc31373"/>
      <w:r>
        <w:rPr>
          <w:rFonts w:hint="eastAsia" w:ascii="仿宋" w:hAnsi="仿宋" w:eastAsia="仿宋"/>
          <w:b w:val="0"/>
          <w:color w:val="000000"/>
        </w:rPr>
        <w:t>一、收</w:t>
      </w:r>
      <w:r>
        <w:rPr>
          <w:rStyle w:val="40"/>
          <w:rFonts w:hint="eastAsia" w:ascii="仿宋" w:hAnsi="仿宋" w:eastAsia="仿宋"/>
          <w:b w:val="0"/>
          <w:bCs w:val="0"/>
        </w:rPr>
        <w:t>入支出决算总表</w:t>
      </w:r>
      <w:bookmarkEnd w:id="89"/>
      <w:bookmarkEnd w:id="90"/>
      <w:bookmarkEnd w:id="91"/>
    </w:p>
    <w:p>
      <w:pPr>
        <w:pStyle w:val="4"/>
        <w:rPr>
          <w:rFonts w:ascii="仿宋" w:hAnsi="仿宋" w:eastAsia="仿宋"/>
          <w:color w:val="000000"/>
        </w:rPr>
      </w:pPr>
      <w:bookmarkStart w:id="92" w:name="_Toc15396620"/>
      <w:bookmarkStart w:id="93" w:name="_Toc17540"/>
      <w:bookmarkStart w:id="94" w:name="_Toc25105"/>
      <w:r>
        <w:rPr>
          <w:rFonts w:hint="eastAsia" w:ascii="仿宋" w:hAnsi="仿宋" w:eastAsia="仿宋"/>
          <w:b w:val="0"/>
          <w:color w:val="000000"/>
        </w:rPr>
        <w:t>二、收</w:t>
      </w:r>
      <w:r>
        <w:rPr>
          <w:rStyle w:val="40"/>
          <w:rFonts w:hint="eastAsia" w:ascii="仿宋" w:hAnsi="仿宋" w:eastAsia="仿宋"/>
          <w:b w:val="0"/>
          <w:bCs w:val="0"/>
        </w:rPr>
        <w:t>入决算表</w:t>
      </w:r>
      <w:bookmarkEnd w:id="92"/>
      <w:bookmarkEnd w:id="93"/>
      <w:bookmarkEnd w:id="94"/>
    </w:p>
    <w:p>
      <w:pPr>
        <w:pStyle w:val="4"/>
        <w:rPr>
          <w:rFonts w:ascii="仿宋" w:hAnsi="仿宋" w:eastAsia="仿宋"/>
          <w:color w:val="000000"/>
        </w:rPr>
      </w:pPr>
      <w:bookmarkStart w:id="95" w:name="_Toc25020"/>
      <w:bookmarkStart w:id="96" w:name="_Toc15396621"/>
      <w:bookmarkStart w:id="97" w:name="_Toc19418"/>
      <w:r>
        <w:rPr>
          <w:rStyle w:val="40"/>
          <w:rFonts w:hint="eastAsia" w:ascii="仿宋" w:hAnsi="仿宋" w:eastAsia="仿宋"/>
          <w:b w:val="0"/>
          <w:bCs w:val="0"/>
        </w:rPr>
        <w:t>三、</w:t>
      </w:r>
      <w:r>
        <w:rPr>
          <w:rFonts w:hint="eastAsia" w:ascii="仿宋" w:hAnsi="仿宋" w:eastAsia="仿宋"/>
          <w:b w:val="0"/>
          <w:color w:val="000000"/>
        </w:rPr>
        <w:t>支</w:t>
      </w:r>
      <w:r>
        <w:rPr>
          <w:rStyle w:val="40"/>
          <w:rFonts w:hint="eastAsia" w:ascii="仿宋" w:hAnsi="仿宋" w:eastAsia="仿宋"/>
          <w:b w:val="0"/>
          <w:bCs w:val="0"/>
        </w:rPr>
        <w:t>出决算表</w:t>
      </w:r>
      <w:bookmarkEnd w:id="95"/>
      <w:bookmarkEnd w:id="96"/>
      <w:bookmarkEnd w:id="97"/>
    </w:p>
    <w:p>
      <w:pPr>
        <w:pStyle w:val="4"/>
        <w:rPr>
          <w:rFonts w:ascii="仿宋" w:hAnsi="仿宋" w:eastAsia="仿宋"/>
          <w:b w:val="0"/>
          <w:color w:val="000000"/>
        </w:rPr>
      </w:pPr>
      <w:bookmarkStart w:id="98" w:name="_Toc15396622"/>
      <w:bookmarkStart w:id="99" w:name="_Toc9645"/>
      <w:bookmarkStart w:id="100" w:name="_Toc14067"/>
      <w:r>
        <w:rPr>
          <w:rStyle w:val="40"/>
          <w:rFonts w:hint="eastAsia" w:ascii="仿宋" w:hAnsi="仿宋" w:eastAsia="仿宋"/>
          <w:b w:val="0"/>
          <w:bCs w:val="0"/>
        </w:rPr>
        <w:t>四、</w:t>
      </w:r>
      <w:r>
        <w:rPr>
          <w:rFonts w:hint="eastAsia" w:ascii="仿宋" w:hAnsi="仿宋" w:eastAsia="仿宋"/>
          <w:b w:val="0"/>
          <w:color w:val="000000"/>
        </w:rPr>
        <w:t>财</w:t>
      </w:r>
      <w:r>
        <w:rPr>
          <w:rStyle w:val="40"/>
          <w:rFonts w:hint="eastAsia" w:ascii="仿宋" w:hAnsi="仿宋" w:eastAsia="仿宋"/>
          <w:b w:val="0"/>
          <w:bCs w:val="0"/>
        </w:rPr>
        <w:t>政拨款收入支出决算总表</w:t>
      </w:r>
      <w:bookmarkEnd w:id="98"/>
      <w:bookmarkEnd w:id="99"/>
      <w:bookmarkEnd w:id="100"/>
    </w:p>
    <w:p>
      <w:pPr>
        <w:pStyle w:val="4"/>
        <w:rPr>
          <w:rStyle w:val="40"/>
          <w:rFonts w:ascii="仿宋" w:hAnsi="仿宋" w:eastAsia="仿宋"/>
          <w:b w:val="0"/>
          <w:bCs w:val="0"/>
        </w:rPr>
      </w:pPr>
      <w:bookmarkStart w:id="101" w:name="_Toc15396623"/>
      <w:bookmarkStart w:id="102" w:name="_Toc19069"/>
      <w:bookmarkStart w:id="103" w:name="_Toc8185"/>
      <w:r>
        <w:rPr>
          <w:rStyle w:val="40"/>
          <w:rFonts w:hint="eastAsia" w:ascii="仿宋" w:hAnsi="仿宋" w:eastAsia="仿宋"/>
          <w:b w:val="0"/>
          <w:bCs w:val="0"/>
        </w:rPr>
        <w:t>五、</w:t>
      </w:r>
      <w:r>
        <w:rPr>
          <w:rFonts w:hint="eastAsia" w:ascii="仿宋" w:hAnsi="仿宋" w:eastAsia="仿宋"/>
          <w:b w:val="0"/>
          <w:color w:val="000000"/>
        </w:rPr>
        <w:t>财</w:t>
      </w:r>
      <w:r>
        <w:rPr>
          <w:rStyle w:val="40"/>
          <w:rFonts w:hint="eastAsia" w:ascii="仿宋" w:hAnsi="仿宋" w:eastAsia="仿宋"/>
          <w:b w:val="0"/>
          <w:bCs w:val="0"/>
        </w:rPr>
        <w:t>政拨款支出决算明细表</w:t>
      </w:r>
      <w:bookmarkEnd w:id="101"/>
      <w:bookmarkEnd w:id="102"/>
      <w:bookmarkEnd w:id="103"/>
      <w:bookmarkStart w:id="104" w:name="_Toc15396624"/>
    </w:p>
    <w:p>
      <w:pPr>
        <w:pStyle w:val="4"/>
        <w:rPr>
          <w:rFonts w:ascii="仿宋" w:hAnsi="仿宋" w:eastAsia="仿宋"/>
          <w:color w:val="000000"/>
        </w:rPr>
      </w:pPr>
      <w:bookmarkStart w:id="105" w:name="_Toc32727"/>
      <w:bookmarkStart w:id="106" w:name="_Toc15079"/>
      <w:r>
        <w:rPr>
          <w:rStyle w:val="40"/>
          <w:rFonts w:hint="eastAsia" w:ascii="仿宋" w:hAnsi="仿宋" w:eastAsia="仿宋"/>
          <w:b w:val="0"/>
          <w:bCs w:val="0"/>
        </w:rPr>
        <w:t>六、</w:t>
      </w:r>
      <w:r>
        <w:rPr>
          <w:rFonts w:hint="eastAsia" w:ascii="仿宋" w:hAnsi="仿宋" w:eastAsia="仿宋"/>
          <w:b w:val="0"/>
          <w:color w:val="000000"/>
        </w:rPr>
        <w:t>一</w:t>
      </w:r>
      <w:r>
        <w:rPr>
          <w:rStyle w:val="40"/>
          <w:rFonts w:hint="eastAsia" w:ascii="仿宋" w:hAnsi="仿宋" w:eastAsia="仿宋"/>
          <w:b w:val="0"/>
          <w:bCs w:val="0"/>
        </w:rPr>
        <w:t>般公共预算财政拨款支出决算表</w:t>
      </w:r>
      <w:bookmarkEnd w:id="104"/>
      <w:bookmarkEnd w:id="105"/>
      <w:bookmarkEnd w:id="106"/>
    </w:p>
    <w:p>
      <w:pPr>
        <w:pStyle w:val="4"/>
        <w:rPr>
          <w:rFonts w:ascii="仿宋" w:hAnsi="仿宋" w:eastAsia="仿宋"/>
          <w:color w:val="000000"/>
        </w:rPr>
      </w:pPr>
      <w:bookmarkStart w:id="107" w:name="_Toc15396625"/>
      <w:bookmarkStart w:id="108" w:name="_Toc21335"/>
      <w:bookmarkStart w:id="109" w:name="_Toc10577"/>
      <w:r>
        <w:rPr>
          <w:rStyle w:val="40"/>
          <w:rFonts w:hint="eastAsia" w:ascii="仿宋" w:hAnsi="仿宋" w:eastAsia="仿宋"/>
          <w:b w:val="0"/>
          <w:bCs w:val="0"/>
        </w:rPr>
        <w:t>七、</w:t>
      </w:r>
      <w:r>
        <w:rPr>
          <w:rFonts w:hint="eastAsia" w:ascii="仿宋" w:hAnsi="仿宋" w:eastAsia="仿宋"/>
          <w:b w:val="0"/>
          <w:color w:val="000000"/>
        </w:rPr>
        <w:t>一</w:t>
      </w:r>
      <w:r>
        <w:rPr>
          <w:rStyle w:val="40"/>
          <w:rFonts w:hint="eastAsia" w:ascii="仿宋" w:hAnsi="仿宋" w:eastAsia="仿宋"/>
          <w:b w:val="0"/>
          <w:bCs w:val="0"/>
        </w:rPr>
        <w:t>般公共预算财政拨款支出决算明细表</w:t>
      </w:r>
      <w:bookmarkEnd w:id="107"/>
      <w:bookmarkEnd w:id="108"/>
      <w:bookmarkEnd w:id="109"/>
    </w:p>
    <w:p>
      <w:pPr>
        <w:pStyle w:val="4"/>
        <w:rPr>
          <w:rFonts w:ascii="仿宋" w:hAnsi="仿宋" w:eastAsia="仿宋"/>
          <w:color w:val="000000"/>
        </w:rPr>
      </w:pPr>
      <w:bookmarkStart w:id="110" w:name="_Toc15396626"/>
      <w:bookmarkStart w:id="111" w:name="_Toc8540"/>
      <w:bookmarkStart w:id="112" w:name="_Toc7398"/>
      <w:r>
        <w:rPr>
          <w:rStyle w:val="40"/>
          <w:rFonts w:hint="eastAsia" w:ascii="仿宋" w:hAnsi="仿宋" w:eastAsia="仿宋"/>
          <w:b w:val="0"/>
          <w:bCs w:val="0"/>
        </w:rPr>
        <w:t>八、</w:t>
      </w:r>
      <w:r>
        <w:rPr>
          <w:rFonts w:hint="eastAsia" w:ascii="仿宋" w:hAnsi="仿宋" w:eastAsia="仿宋"/>
          <w:b w:val="0"/>
          <w:color w:val="000000"/>
        </w:rPr>
        <w:t>一</w:t>
      </w:r>
      <w:r>
        <w:rPr>
          <w:rStyle w:val="40"/>
          <w:rFonts w:hint="eastAsia" w:ascii="仿宋" w:hAnsi="仿宋" w:eastAsia="仿宋"/>
          <w:b w:val="0"/>
          <w:bCs w:val="0"/>
        </w:rPr>
        <w:t>般公共预算财政拨款基本支出决算表</w:t>
      </w:r>
      <w:bookmarkEnd w:id="110"/>
      <w:bookmarkEnd w:id="111"/>
      <w:bookmarkEnd w:id="112"/>
    </w:p>
    <w:p>
      <w:pPr>
        <w:pStyle w:val="4"/>
        <w:rPr>
          <w:rFonts w:ascii="仿宋" w:hAnsi="仿宋" w:eastAsia="仿宋"/>
          <w:color w:val="000000"/>
        </w:rPr>
      </w:pPr>
      <w:bookmarkStart w:id="113" w:name="_Toc15396627"/>
      <w:bookmarkStart w:id="114" w:name="_Toc13363"/>
      <w:bookmarkStart w:id="115" w:name="_Toc20573"/>
      <w:r>
        <w:rPr>
          <w:rStyle w:val="40"/>
          <w:rFonts w:hint="eastAsia" w:ascii="仿宋" w:hAnsi="仿宋" w:eastAsia="仿宋"/>
          <w:b w:val="0"/>
          <w:bCs w:val="0"/>
        </w:rPr>
        <w:t>九、</w:t>
      </w:r>
      <w:r>
        <w:rPr>
          <w:rFonts w:hint="eastAsia" w:ascii="仿宋" w:hAnsi="仿宋" w:eastAsia="仿宋"/>
          <w:b w:val="0"/>
          <w:color w:val="000000"/>
        </w:rPr>
        <w:t>一</w:t>
      </w:r>
      <w:r>
        <w:rPr>
          <w:rStyle w:val="40"/>
          <w:rFonts w:hint="eastAsia" w:ascii="仿宋" w:hAnsi="仿宋" w:eastAsia="仿宋"/>
          <w:b w:val="0"/>
          <w:bCs w:val="0"/>
        </w:rPr>
        <w:t>般公共预算财政拨款项目支出决算表</w:t>
      </w:r>
      <w:bookmarkEnd w:id="113"/>
      <w:bookmarkEnd w:id="114"/>
      <w:bookmarkEnd w:id="115"/>
    </w:p>
    <w:p>
      <w:pPr>
        <w:pStyle w:val="4"/>
        <w:rPr>
          <w:rFonts w:ascii="仿宋" w:hAnsi="仿宋" w:eastAsia="仿宋"/>
          <w:color w:val="000000"/>
        </w:rPr>
      </w:pPr>
      <w:bookmarkStart w:id="116" w:name="_Toc15396628"/>
      <w:bookmarkStart w:id="117" w:name="_Toc16807"/>
      <w:bookmarkStart w:id="118" w:name="_Toc27458"/>
      <w:r>
        <w:rPr>
          <w:rStyle w:val="40"/>
          <w:rFonts w:hint="eastAsia" w:ascii="仿宋" w:hAnsi="仿宋" w:eastAsia="仿宋"/>
          <w:b w:val="0"/>
          <w:bCs w:val="0"/>
        </w:rPr>
        <w:t>十、</w:t>
      </w:r>
      <w:r>
        <w:rPr>
          <w:rFonts w:hint="eastAsia" w:ascii="仿宋" w:hAnsi="仿宋" w:eastAsia="仿宋"/>
          <w:b w:val="0"/>
          <w:color w:val="000000"/>
        </w:rPr>
        <w:t>一</w:t>
      </w:r>
      <w:r>
        <w:rPr>
          <w:rStyle w:val="40"/>
          <w:rFonts w:hint="eastAsia" w:ascii="仿宋" w:hAnsi="仿宋" w:eastAsia="仿宋"/>
          <w:b w:val="0"/>
          <w:bCs w:val="0"/>
        </w:rPr>
        <w:t>般公共预算财政拨款“三公”经费支出决算表</w:t>
      </w:r>
      <w:bookmarkEnd w:id="116"/>
      <w:bookmarkEnd w:id="117"/>
      <w:bookmarkEnd w:id="118"/>
    </w:p>
    <w:p>
      <w:pPr>
        <w:pStyle w:val="4"/>
        <w:rPr>
          <w:rFonts w:ascii="仿宋" w:hAnsi="仿宋" w:eastAsia="仿宋"/>
          <w:color w:val="000000"/>
        </w:rPr>
      </w:pPr>
      <w:bookmarkStart w:id="119" w:name="_Toc20815"/>
      <w:bookmarkStart w:id="120" w:name="_Toc15396629"/>
      <w:bookmarkStart w:id="121" w:name="_Toc6886"/>
      <w:r>
        <w:rPr>
          <w:rStyle w:val="40"/>
          <w:rFonts w:hint="eastAsia" w:ascii="仿宋" w:hAnsi="仿宋" w:eastAsia="仿宋"/>
          <w:b w:val="0"/>
          <w:bCs w:val="0"/>
        </w:rPr>
        <w:t>十一、</w:t>
      </w:r>
      <w:r>
        <w:rPr>
          <w:rFonts w:hint="eastAsia" w:ascii="仿宋" w:hAnsi="仿宋" w:eastAsia="仿宋"/>
          <w:b w:val="0"/>
          <w:color w:val="000000"/>
        </w:rPr>
        <w:t>政</w:t>
      </w:r>
      <w:r>
        <w:rPr>
          <w:rStyle w:val="40"/>
          <w:rFonts w:hint="eastAsia" w:ascii="仿宋" w:hAnsi="仿宋" w:eastAsia="仿宋"/>
          <w:b w:val="0"/>
          <w:bCs w:val="0"/>
        </w:rPr>
        <w:t>府性基金预算财政拨款收入支出决算表</w:t>
      </w:r>
      <w:bookmarkEnd w:id="119"/>
      <w:bookmarkEnd w:id="120"/>
      <w:bookmarkEnd w:id="121"/>
    </w:p>
    <w:p>
      <w:pPr>
        <w:pStyle w:val="4"/>
        <w:rPr>
          <w:rFonts w:ascii="仿宋" w:hAnsi="仿宋" w:eastAsia="仿宋"/>
          <w:color w:val="000000"/>
        </w:rPr>
      </w:pPr>
      <w:bookmarkStart w:id="122" w:name="_Toc7295"/>
      <w:bookmarkStart w:id="123" w:name="_Toc15396630"/>
      <w:bookmarkStart w:id="124" w:name="_Toc27254"/>
      <w:r>
        <w:rPr>
          <w:rStyle w:val="40"/>
          <w:rFonts w:hint="eastAsia" w:ascii="仿宋" w:hAnsi="仿宋" w:eastAsia="仿宋"/>
          <w:b w:val="0"/>
          <w:bCs w:val="0"/>
        </w:rPr>
        <w:t>十二、</w:t>
      </w:r>
      <w:r>
        <w:rPr>
          <w:rFonts w:hint="eastAsia" w:ascii="仿宋" w:hAnsi="仿宋" w:eastAsia="仿宋"/>
          <w:b w:val="0"/>
          <w:color w:val="000000"/>
        </w:rPr>
        <w:t>政</w:t>
      </w:r>
      <w:r>
        <w:rPr>
          <w:rStyle w:val="40"/>
          <w:rFonts w:hint="eastAsia" w:ascii="仿宋" w:hAnsi="仿宋" w:eastAsia="仿宋"/>
          <w:b w:val="0"/>
          <w:bCs w:val="0"/>
        </w:rPr>
        <w:t>府性基金预算财政拨款“三公”经费支出决算表</w:t>
      </w:r>
      <w:bookmarkEnd w:id="122"/>
      <w:bookmarkEnd w:id="123"/>
      <w:bookmarkEnd w:id="124"/>
    </w:p>
    <w:p>
      <w:pPr>
        <w:pStyle w:val="4"/>
        <w:rPr>
          <w:rStyle w:val="40"/>
          <w:rFonts w:hint="eastAsia" w:ascii="仿宋" w:hAnsi="仿宋" w:eastAsia="仿宋"/>
          <w:b w:val="0"/>
          <w:bCs w:val="0"/>
        </w:rPr>
      </w:pPr>
      <w:bookmarkStart w:id="125" w:name="_Toc9704"/>
      <w:bookmarkStart w:id="126" w:name="_Toc15396631"/>
      <w:bookmarkStart w:id="127" w:name="_Toc512"/>
      <w:r>
        <w:rPr>
          <w:rStyle w:val="40"/>
          <w:rFonts w:hint="eastAsia" w:ascii="仿宋" w:hAnsi="仿宋" w:eastAsia="仿宋"/>
          <w:b w:val="0"/>
          <w:bCs w:val="0"/>
        </w:rPr>
        <w:t>十三、</w:t>
      </w:r>
      <w:r>
        <w:rPr>
          <w:rFonts w:hint="eastAsia" w:ascii="仿宋" w:hAnsi="仿宋" w:eastAsia="仿宋"/>
          <w:b w:val="0"/>
          <w:color w:val="000000"/>
        </w:rPr>
        <w:t>国</w:t>
      </w:r>
      <w:r>
        <w:rPr>
          <w:rStyle w:val="40"/>
          <w:rFonts w:hint="eastAsia" w:ascii="仿宋" w:hAnsi="仿宋" w:eastAsia="仿宋"/>
          <w:b w:val="0"/>
          <w:bCs w:val="0"/>
        </w:rPr>
        <w:t>有资本经营预算</w:t>
      </w:r>
      <w:r>
        <w:rPr>
          <w:rStyle w:val="40"/>
          <w:rFonts w:hint="eastAsia" w:ascii="仿宋" w:hAnsi="仿宋" w:eastAsia="仿宋"/>
          <w:b w:val="0"/>
          <w:bCs w:val="0"/>
          <w:lang w:eastAsia="zh-CN"/>
        </w:rPr>
        <w:t>财政拨款收入</w:t>
      </w:r>
      <w:r>
        <w:rPr>
          <w:rStyle w:val="40"/>
          <w:rFonts w:hint="eastAsia" w:ascii="仿宋" w:hAnsi="仿宋" w:eastAsia="仿宋"/>
          <w:b w:val="0"/>
          <w:bCs w:val="0"/>
        </w:rPr>
        <w:t>支出决算表</w:t>
      </w:r>
      <w:bookmarkEnd w:id="125"/>
      <w:bookmarkEnd w:id="126"/>
      <w:bookmarkEnd w:id="127"/>
    </w:p>
    <w:p>
      <w:pPr>
        <w:pStyle w:val="4"/>
        <w:rPr>
          <w:rStyle w:val="40"/>
          <w:rFonts w:hint="eastAsia" w:ascii="仿宋" w:hAnsi="仿宋" w:eastAsia="仿宋"/>
          <w:b w:val="0"/>
          <w:bCs w:val="0"/>
        </w:rPr>
      </w:pPr>
      <w:bookmarkStart w:id="128" w:name="_Toc31858"/>
      <w:bookmarkStart w:id="129" w:name="_Toc931"/>
      <w:r>
        <w:rPr>
          <w:rStyle w:val="40"/>
          <w:rFonts w:hint="eastAsia" w:ascii="仿宋" w:hAnsi="仿宋" w:eastAsia="仿宋"/>
          <w:b w:val="0"/>
          <w:bCs w:val="0"/>
          <w:lang w:eastAsia="zh-CN"/>
        </w:rPr>
        <w:t>十四、</w:t>
      </w:r>
      <w:r>
        <w:rPr>
          <w:rFonts w:hint="eastAsia" w:ascii="仿宋" w:hAnsi="仿宋" w:eastAsia="仿宋"/>
          <w:b w:val="0"/>
          <w:color w:val="000000"/>
        </w:rPr>
        <w:t>国</w:t>
      </w:r>
      <w:r>
        <w:rPr>
          <w:rStyle w:val="40"/>
          <w:rFonts w:hint="eastAsia" w:ascii="仿宋" w:hAnsi="仿宋" w:eastAsia="仿宋"/>
          <w:b w:val="0"/>
          <w:bCs w:val="0"/>
        </w:rPr>
        <w:t>有资本经营预算</w:t>
      </w:r>
      <w:r>
        <w:rPr>
          <w:rStyle w:val="40"/>
          <w:rFonts w:hint="eastAsia" w:ascii="仿宋" w:hAnsi="仿宋" w:eastAsia="仿宋"/>
          <w:b w:val="0"/>
          <w:bCs w:val="0"/>
          <w:lang w:eastAsia="zh-CN"/>
        </w:rPr>
        <w:t>财政拨款</w:t>
      </w:r>
      <w:r>
        <w:rPr>
          <w:rStyle w:val="40"/>
          <w:rFonts w:hint="eastAsia" w:ascii="仿宋" w:hAnsi="仿宋" w:eastAsia="仿宋"/>
          <w:b w:val="0"/>
          <w:bCs w:val="0"/>
        </w:rPr>
        <w:t>支出决算表</w:t>
      </w:r>
      <w:bookmarkEnd w:id="128"/>
      <w:bookmarkEnd w:id="129"/>
    </w:p>
    <w:p>
      <w:pPr>
        <w:pStyle w:val="30"/>
        <w:ind w:firstLine="640" w:firstLineChars="200"/>
        <w:contextualSpacing/>
        <w:rPr>
          <w:rFonts w:ascii="Times New Roman" w:hAnsi="Times New Roman" w:eastAsia="仿宋_GB2312" w:cs="Times New Roman"/>
          <w:color w:val="auto"/>
          <w:sz w:val="32"/>
          <w:szCs w:val="32"/>
        </w:rPr>
      </w:pP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jc w:val="center"/>
      <w:rPr>
        <w:rFonts w:hint="eastAsia"/>
      </w:rPr>
    </w:pPr>
    <w:r>
      <w:fldChar w:fldCharType="begin"/>
    </w:r>
    <w:r>
      <w:instrText xml:space="preserve">PAGE   \* MERGEFORMAT</w:instrText>
    </w:r>
    <w:r>
      <w:fldChar w:fldCharType="separate"/>
    </w:r>
    <w:r>
      <w:rPr>
        <w:lang w:val="zh-CN"/>
      </w:rPr>
      <w:t>36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65A8DA94"/>
    <w:multiLevelType w:val="singleLevel"/>
    <w:tmpl w:val="65A8DA94"/>
    <w:lvl w:ilvl="0" w:tentative="0">
      <w:start w:val="4"/>
      <w:numFmt w:val="chineseCounting"/>
      <w:suff w:val="nothing"/>
      <w:lvlText w:val="（%1）"/>
      <w:lvlJc w:val="left"/>
      <w:pPr>
        <w:ind w:left="21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BF"/>
    <w:rsid w:val="00022477"/>
    <w:rsid w:val="00030C02"/>
    <w:rsid w:val="000969C8"/>
    <w:rsid w:val="000B3724"/>
    <w:rsid w:val="00117635"/>
    <w:rsid w:val="001205C4"/>
    <w:rsid w:val="00150578"/>
    <w:rsid w:val="001A572C"/>
    <w:rsid w:val="001B6EE8"/>
    <w:rsid w:val="00201613"/>
    <w:rsid w:val="00252F26"/>
    <w:rsid w:val="00277206"/>
    <w:rsid w:val="002850C6"/>
    <w:rsid w:val="00287E23"/>
    <w:rsid w:val="002A37A3"/>
    <w:rsid w:val="002A5B9E"/>
    <w:rsid w:val="002A6AA9"/>
    <w:rsid w:val="00344C97"/>
    <w:rsid w:val="00364B5B"/>
    <w:rsid w:val="0039728C"/>
    <w:rsid w:val="003A5855"/>
    <w:rsid w:val="00420C9F"/>
    <w:rsid w:val="004328C4"/>
    <w:rsid w:val="00435178"/>
    <w:rsid w:val="00460040"/>
    <w:rsid w:val="00497729"/>
    <w:rsid w:val="00497B61"/>
    <w:rsid w:val="00525504"/>
    <w:rsid w:val="005374EE"/>
    <w:rsid w:val="00554D48"/>
    <w:rsid w:val="00573EF4"/>
    <w:rsid w:val="005B3DA3"/>
    <w:rsid w:val="005E724A"/>
    <w:rsid w:val="005F09E3"/>
    <w:rsid w:val="00627201"/>
    <w:rsid w:val="006274CD"/>
    <w:rsid w:val="00630CFE"/>
    <w:rsid w:val="00663A8E"/>
    <w:rsid w:val="00674A95"/>
    <w:rsid w:val="006949BF"/>
    <w:rsid w:val="006A19EA"/>
    <w:rsid w:val="006F05F7"/>
    <w:rsid w:val="006F06CD"/>
    <w:rsid w:val="00792405"/>
    <w:rsid w:val="007A5B39"/>
    <w:rsid w:val="007C34F8"/>
    <w:rsid w:val="007F0253"/>
    <w:rsid w:val="00816C8E"/>
    <w:rsid w:val="008437BF"/>
    <w:rsid w:val="008B1BB6"/>
    <w:rsid w:val="00915E7F"/>
    <w:rsid w:val="00925D32"/>
    <w:rsid w:val="009431B9"/>
    <w:rsid w:val="00950EE1"/>
    <w:rsid w:val="00957BC5"/>
    <w:rsid w:val="00961CA5"/>
    <w:rsid w:val="009812DF"/>
    <w:rsid w:val="009B3022"/>
    <w:rsid w:val="00A56EB1"/>
    <w:rsid w:val="00A81DD7"/>
    <w:rsid w:val="00AA6EB2"/>
    <w:rsid w:val="00AA6F81"/>
    <w:rsid w:val="00AD0ECC"/>
    <w:rsid w:val="00AD792F"/>
    <w:rsid w:val="00B21804"/>
    <w:rsid w:val="00B3776A"/>
    <w:rsid w:val="00BE1729"/>
    <w:rsid w:val="00C73F8B"/>
    <w:rsid w:val="00C753BF"/>
    <w:rsid w:val="00CC0A7F"/>
    <w:rsid w:val="00CD3319"/>
    <w:rsid w:val="00CF0DBE"/>
    <w:rsid w:val="00CF4ECC"/>
    <w:rsid w:val="00D43BBE"/>
    <w:rsid w:val="00D74407"/>
    <w:rsid w:val="00D7774B"/>
    <w:rsid w:val="00DA380D"/>
    <w:rsid w:val="00DC05B3"/>
    <w:rsid w:val="00DD1ABF"/>
    <w:rsid w:val="00E20153"/>
    <w:rsid w:val="00E41CE5"/>
    <w:rsid w:val="00ED0383"/>
    <w:rsid w:val="00F50685"/>
    <w:rsid w:val="00F74DC4"/>
    <w:rsid w:val="00F75193"/>
    <w:rsid w:val="00FA3633"/>
    <w:rsid w:val="00FC676B"/>
    <w:rsid w:val="00FE17C3"/>
    <w:rsid w:val="05A240E8"/>
    <w:rsid w:val="06B33FA5"/>
    <w:rsid w:val="06EA548C"/>
    <w:rsid w:val="074402CA"/>
    <w:rsid w:val="08BF4A65"/>
    <w:rsid w:val="0C3B250F"/>
    <w:rsid w:val="0F613B58"/>
    <w:rsid w:val="16B505C6"/>
    <w:rsid w:val="1A8A7BC5"/>
    <w:rsid w:val="1B037642"/>
    <w:rsid w:val="1C267988"/>
    <w:rsid w:val="1D2E1647"/>
    <w:rsid w:val="26FD52F2"/>
    <w:rsid w:val="27F84A8D"/>
    <w:rsid w:val="2920604A"/>
    <w:rsid w:val="29951D6B"/>
    <w:rsid w:val="29E52B9D"/>
    <w:rsid w:val="32C747C1"/>
    <w:rsid w:val="32E560BD"/>
    <w:rsid w:val="363C032D"/>
    <w:rsid w:val="36C9669E"/>
    <w:rsid w:val="37153F48"/>
    <w:rsid w:val="38B40D7A"/>
    <w:rsid w:val="39BF3D04"/>
    <w:rsid w:val="3A5A5B3F"/>
    <w:rsid w:val="3DD800A6"/>
    <w:rsid w:val="3FC62809"/>
    <w:rsid w:val="40A662AB"/>
    <w:rsid w:val="40A86754"/>
    <w:rsid w:val="487B1CF9"/>
    <w:rsid w:val="4BA606A4"/>
    <w:rsid w:val="4C5A730F"/>
    <w:rsid w:val="4D6E1743"/>
    <w:rsid w:val="4F65312C"/>
    <w:rsid w:val="4F6D7ADA"/>
    <w:rsid w:val="50744A1A"/>
    <w:rsid w:val="51D23796"/>
    <w:rsid w:val="53633EBE"/>
    <w:rsid w:val="5547793B"/>
    <w:rsid w:val="556529DD"/>
    <w:rsid w:val="55E37E2B"/>
    <w:rsid w:val="56483661"/>
    <w:rsid w:val="575B32A0"/>
    <w:rsid w:val="596D066C"/>
    <w:rsid w:val="59D90343"/>
    <w:rsid w:val="59E425BC"/>
    <w:rsid w:val="5C6B2146"/>
    <w:rsid w:val="5F7607A3"/>
    <w:rsid w:val="62867F39"/>
    <w:rsid w:val="63A3397C"/>
    <w:rsid w:val="66B932C5"/>
    <w:rsid w:val="689E5B89"/>
    <w:rsid w:val="68AC1AFC"/>
    <w:rsid w:val="71EF764E"/>
    <w:rsid w:val="726F2821"/>
    <w:rsid w:val="77FA5285"/>
    <w:rsid w:val="7D52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6">
    <w:name w:val="Normal Indent"/>
    <w:basedOn w:val="1"/>
    <w:qFormat/>
    <w:uiPriority w:val="0"/>
    <w:pPr>
      <w:ind w:firstLine="420" w:firstLineChars="200"/>
    </w:pPr>
  </w:style>
  <w:style w:type="paragraph" w:styleId="7">
    <w:name w:val="Body Text"/>
    <w:basedOn w:val="1"/>
    <w:link w:val="23"/>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4"/>
    <w:semiHidden/>
    <w:unhideWhenUsed/>
    <w:qFormat/>
    <w:uiPriority w:val="99"/>
    <w:rPr>
      <w:sz w:val="18"/>
      <w:szCs w:val="18"/>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b/>
    </w:rPr>
  </w:style>
  <w:style w:type="character" w:styleId="17">
    <w:name w:val="Emphasis"/>
    <w:basedOn w:val="15"/>
    <w:qFormat/>
    <w:uiPriority w:val="0"/>
    <w:rPr>
      <w:i/>
    </w:rPr>
  </w:style>
  <w:style w:type="character" w:styleId="18">
    <w:name w:val="Hyperlink"/>
    <w:basedOn w:val="15"/>
    <w:unhideWhenUsed/>
    <w:qFormat/>
    <w:uiPriority w:val="99"/>
    <w:rPr>
      <w:color w:val="0563C1" w:themeColor="hyperlink"/>
      <w:u w:val="single"/>
      <w14:textFill>
        <w14:solidFill>
          <w14:schemeClr w14:val="hlink"/>
        </w14:solidFill>
      </w14:textFill>
    </w:rPr>
  </w:style>
  <w:style w:type="paragraph" w:customStyle="1" w:styleId="19">
    <w:name w:val="正文文本缩进 2 Char Char"/>
    <w:basedOn w:val="1"/>
    <w:qFormat/>
    <w:uiPriority w:val="99"/>
    <w:pPr>
      <w:spacing w:before="100" w:beforeAutospacing="1" w:line="480" w:lineRule="auto"/>
      <w:ind w:left="420" w:leftChars="200"/>
    </w:pPr>
    <w:rPr>
      <w:rFonts w:eastAsia="仿宋_GB2312"/>
      <w:sz w:val="32"/>
      <w:szCs w:val="32"/>
    </w:rPr>
  </w:style>
  <w:style w:type="character" w:customStyle="1" w:styleId="20">
    <w:name w:val="标题 1 字符"/>
    <w:basedOn w:val="15"/>
    <w:link w:val="3"/>
    <w:qFormat/>
    <w:uiPriority w:val="9"/>
    <w:rPr>
      <w:rFonts w:ascii="Times New Roman" w:hAnsi="Times New Roman" w:eastAsia="宋体" w:cs="Times New Roman"/>
      <w:b/>
      <w:bCs/>
      <w:kern w:val="44"/>
      <w:sz w:val="44"/>
      <w:szCs w:val="44"/>
    </w:rPr>
  </w:style>
  <w:style w:type="character" w:customStyle="1" w:styleId="21">
    <w:name w:val="标题 2 字符"/>
    <w:basedOn w:val="15"/>
    <w:link w:val="4"/>
    <w:qFormat/>
    <w:uiPriority w:val="9"/>
    <w:rPr>
      <w:rFonts w:asciiTheme="majorHAnsi" w:hAnsiTheme="majorHAnsi" w:eastAsiaTheme="majorEastAsia" w:cstheme="majorBidi"/>
      <w:b/>
      <w:bCs/>
      <w:sz w:val="32"/>
      <w:szCs w:val="32"/>
    </w:rPr>
  </w:style>
  <w:style w:type="character" w:customStyle="1" w:styleId="22">
    <w:name w:val="标题 3 字符"/>
    <w:basedOn w:val="15"/>
    <w:link w:val="5"/>
    <w:qFormat/>
    <w:uiPriority w:val="9"/>
    <w:rPr>
      <w:rFonts w:ascii="Times New Roman" w:hAnsi="Times New Roman" w:eastAsia="宋体" w:cs="Times New Roman"/>
      <w:b/>
      <w:bCs/>
      <w:sz w:val="32"/>
      <w:szCs w:val="32"/>
    </w:rPr>
  </w:style>
  <w:style w:type="character" w:customStyle="1" w:styleId="23">
    <w:name w:val="正文文本 字符"/>
    <w:basedOn w:val="15"/>
    <w:link w:val="7"/>
    <w:qFormat/>
    <w:uiPriority w:val="99"/>
    <w:rPr>
      <w:rFonts w:ascii="仿宋_GB2312" w:hAnsi="Times New Roman" w:eastAsia="仿宋_GB2312" w:cs="Times New Roman"/>
      <w:kern w:val="0"/>
      <w:sz w:val="30"/>
      <w:szCs w:val="24"/>
    </w:rPr>
  </w:style>
  <w:style w:type="character" w:customStyle="1" w:styleId="24">
    <w:name w:val="批注框文本 字符"/>
    <w:basedOn w:val="15"/>
    <w:link w:val="9"/>
    <w:semiHidden/>
    <w:qFormat/>
    <w:uiPriority w:val="99"/>
    <w:rPr>
      <w:rFonts w:ascii="Times New Roman" w:hAnsi="Times New Roman" w:eastAsia="宋体" w:cs="Times New Roman"/>
      <w:sz w:val="18"/>
      <w:szCs w:val="18"/>
    </w:rPr>
  </w:style>
  <w:style w:type="character" w:customStyle="1" w:styleId="25">
    <w:name w:val="页脚 字符"/>
    <w:basedOn w:val="15"/>
    <w:link w:val="2"/>
    <w:qFormat/>
    <w:uiPriority w:val="99"/>
    <w:rPr>
      <w:rFonts w:ascii="Calibri" w:hAnsi="Calibri" w:eastAsia="宋体" w:cs="Times New Roman"/>
      <w:kern w:val="0"/>
      <w:sz w:val="18"/>
      <w:szCs w:val="18"/>
    </w:rPr>
  </w:style>
  <w:style w:type="character" w:customStyle="1" w:styleId="26">
    <w:name w:val="页眉 字符"/>
    <w:basedOn w:val="15"/>
    <w:link w:val="10"/>
    <w:semiHidden/>
    <w:qFormat/>
    <w:uiPriority w:val="99"/>
    <w:rPr>
      <w:rFonts w:ascii="Calibri" w:hAnsi="Calibri" w:eastAsia="宋体" w:cs="Times New Roman"/>
      <w:kern w:val="0"/>
      <w:sz w:val="18"/>
      <w:szCs w:val="18"/>
    </w:rPr>
  </w:style>
  <w:style w:type="character" w:customStyle="1" w:styleId="27">
    <w:name w:val="Header Char"/>
    <w:basedOn w:val="15"/>
    <w:semiHidden/>
    <w:qFormat/>
    <w:uiPriority w:val="99"/>
    <w:rPr>
      <w:rFonts w:ascii="Times New Roman" w:hAnsi="Times New Roman"/>
      <w:sz w:val="18"/>
      <w:szCs w:val="18"/>
    </w:rPr>
  </w:style>
  <w:style w:type="character" w:customStyle="1" w:styleId="28">
    <w:name w:val="Footer Char"/>
    <w:basedOn w:val="15"/>
    <w:semiHidden/>
    <w:qFormat/>
    <w:uiPriority w:val="99"/>
    <w:rPr>
      <w:rFonts w:ascii="Times New Roman" w:hAnsi="Times New Roman"/>
      <w:sz w:val="18"/>
      <w:szCs w:val="18"/>
    </w:rPr>
  </w:style>
  <w:style w:type="character" w:customStyle="1" w:styleId="29">
    <w:name w:val="Body Text Char"/>
    <w:basedOn w:val="15"/>
    <w:semiHidden/>
    <w:qFormat/>
    <w:uiPriority w:val="99"/>
    <w:rPr>
      <w:rFonts w:ascii="Times New Roman" w:hAnsi="Times New Roman"/>
      <w:szCs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styleId="3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4级标题"/>
    <w:qFormat/>
    <w:uiPriority w:val="0"/>
    <w:pPr>
      <w:spacing w:line="600" w:lineRule="exact"/>
      <w:ind w:firstLine="200" w:firstLineChars="200"/>
      <w:outlineLvl w:val="3"/>
    </w:pPr>
    <w:rPr>
      <w:rFonts w:ascii="黑体" w:hAnsi="黑体" w:eastAsia="黑体" w:cs="Times New Roman"/>
      <w:color w:val="000000"/>
      <w:kern w:val="2"/>
      <w:sz w:val="30"/>
      <w:szCs w:val="30"/>
      <w:lang w:bidi="ar-SA"/>
    </w:rPr>
  </w:style>
  <w:style w:type="character" w:customStyle="1" w:styleId="37">
    <w:name w:val="标题 1 Char"/>
    <w:basedOn w:val="15"/>
    <w:link w:val="3"/>
    <w:qFormat/>
    <w:locked/>
    <w:uiPriority w:val="99"/>
    <w:rPr>
      <w:rFonts w:eastAsia="黑体"/>
      <w:bCs/>
      <w:kern w:val="44"/>
      <w:sz w:val="44"/>
      <w:szCs w:val="44"/>
    </w:rPr>
  </w:style>
  <w:style w:type="paragraph" w:customStyle="1" w:styleId="38">
    <w:name w:val="表格"/>
    <w:qFormat/>
    <w:uiPriority w:val="0"/>
    <w:pPr>
      <w:jc w:val="both"/>
      <w:textAlignment w:val="center"/>
    </w:pPr>
    <w:rPr>
      <w:rFonts w:ascii="Times New Roman" w:hAnsi="Times New Roman" w:eastAsia="仿宋" w:cs="Times New Roman"/>
      <w:color w:val="000000"/>
      <w:sz w:val="21"/>
      <w:szCs w:val="22"/>
      <w:lang w:bidi="ar-SA"/>
    </w:rPr>
  </w:style>
  <w:style w:type="character" w:customStyle="1" w:styleId="39">
    <w:name w:val="_Style 9"/>
    <w:qFormat/>
    <w:uiPriority w:val="31"/>
    <w:rPr>
      <w:smallCaps/>
      <w:color w:val="C0504D"/>
      <w:u w:val="single"/>
    </w:rPr>
  </w:style>
  <w:style w:type="character" w:customStyle="1" w:styleId="40">
    <w:name w:val="标题 2 Char"/>
    <w:basedOn w:val="15"/>
    <w:link w:val="4"/>
    <w:qFormat/>
    <w:locked/>
    <w:uiPriority w:val="9"/>
    <w:rPr>
      <w:rFonts w:ascii="Cambria" w:hAnsi="Cambria"/>
      <w:b/>
      <w:bCs/>
      <w:kern w:val="2"/>
      <w:sz w:val="32"/>
      <w:szCs w:val="32"/>
      <w:lang w:bidi="ar-SA"/>
    </w:rPr>
  </w:style>
  <w:style w:type="paragraph" w:customStyle="1" w:styleId="4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
    <w:basedOn w:val="1"/>
    <w:qFormat/>
    <w:uiPriority w:val="0"/>
    <w:pPr>
      <w:spacing w:line="360" w:lineRule="auto"/>
      <w:ind w:firstLine="200" w:firstLineChars="200"/>
    </w:pPr>
    <w:rPr>
      <w:rFonts w:ascii="Calibri" w:hAnsi="Calibri" w:cs="黑体"/>
      <w:sz w:val="24"/>
      <w:szCs w:val="22"/>
    </w:rPr>
  </w:style>
  <w:style w:type="paragraph" w:customStyle="1" w:styleId="43">
    <w:name w:val="WPSOffice手动目录 1"/>
    <w:uiPriority w:val="0"/>
    <w:pPr>
      <w:ind w:leftChars="0"/>
    </w:pPr>
    <w:rPr>
      <w:rFonts w:ascii="Times New Roman" w:hAnsi="Times New Roman" w:eastAsia="宋体" w:cs="Times New Roman"/>
      <w:sz w:val="20"/>
      <w:szCs w:val="20"/>
    </w:rPr>
  </w:style>
  <w:style w:type="paragraph" w:customStyle="1" w:styleId="4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3164</Words>
  <Characters>18037</Characters>
  <Lines>150</Lines>
  <Paragraphs>42</Paragraphs>
  <TotalTime>57</TotalTime>
  <ScaleCrop>false</ScaleCrop>
  <LinksUpToDate>false</LinksUpToDate>
  <CharactersWithSpaces>21159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2021-09-26T03:48:00Z</dcterms:created>
  <dc:creator>Administrator</dc:creator>
  <cp:lastModifiedBy>Administrator</cp:lastModifiedBy>
  <cp:lastPrinted>2021-11-23T01:20:00Z</cp:lastPrinted>
  <dcterms:modified xsi:type="dcterms:W3CDTF">2021-11-23T07:17:24Z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E749824CA6DB437196C48AC16D3F74AB</vt:lpwstr>
  </property>
</Properties>
</file>